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2AA3C" w14:textId="116A9F28" w:rsidR="002900ED" w:rsidRDefault="00037CD3" w:rsidP="00037CD3">
      <w:pPr>
        <w:jc w:val="center"/>
        <w:rPr>
          <w:rFonts w:ascii="Times New Roman" w:hAnsi="Times New Roman" w:cs="Times New Roman"/>
          <w:b/>
          <w:bCs/>
          <w:sz w:val="28"/>
          <w:szCs w:val="28"/>
        </w:rPr>
      </w:pPr>
      <w:r w:rsidRPr="007E2122">
        <w:rPr>
          <w:rFonts w:ascii="Times New Roman" w:hAnsi="Times New Roman" w:cs="Times New Roman"/>
          <w:b/>
          <w:bCs/>
          <w:sz w:val="28"/>
          <w:szCs w:val="28"/>
        </w:rPr>
        <w:t>A COMPREHENSIVE ANALYSIS OF GLOBAL PHARMACOVIGILANCE: A STUDY OF INDIA, THE US, AND AUSTRALIA</w:t>
      </w:r>
    </w:p>
    <w:p w14:paraId="16FA8AA7" w14:textId="77A42FC2" w:rsidR="0004052C" w:rsidRDefault="0004052C" w:rsidP="00037CD3">
      <w:pPr>
        <w:jc w:val="center"/>
        <w:rPr>
          <w:rFonts w:ascii="Times New Roman" w:hAnsi="Times New Roman" w:cs="Times New Roman"/>
          <w:b/>
          <w:bCs/>
          <w:sz w:val="28"/>
          <w:szCs w:val="28"/>
          <w:vertAlign w:val="superscript"/>
        </w:rPr>
      </w:pPr>
      <w:r>
        <w:rPr>
          <w:rFonts w:ascii="Times New Roman" w:hAnsi="Times New Roman" w:cs="Times New Roman"/>
          <w:b/>
          <w:bCs/>
          <w:sz w:val="28"/>
          <w:szCs w:val="28"/>
        </w:rPr>
        <w:t>Maddala Bharathi</w:t>
      </w:r>
      <w:r>
        <w:rPr>
          <w:rFonts w:ascii="Times New Roman" w:hAnsi="Times New Roman" w:cs="Times New Roman"/>
          <w:b/>
          <w:bCs/>
          <w:sz w:val="28"/>
          <w:szCs w:val="28"/>
          <w:vertAlign w:val="superscript"/>
        </w:rPr>
        <w:t>*</w:t>
      </w:r>
      <w:r w:rsidR="008B355B">
        <w:rPr>
          <w:rFonts w:ascii="Times New Roman" w:hAnsi="Times New Roman" w:cs="Times New Roman"/>
          <w:b/>
          <w:bCs/>
          <w:sz w:val="28"/>
          <w:szCs w:val="28"/>
          <w:vertAlign w:val="superscript"/>
        </w:rPr>
        <w:t>1</w:t>
      </w:r>
      <w:r w:rsidR="008B355B">
        <w:rPr>
          <w:rFonts w:ascii="Times New Roman" w:hAnsi="Times New Roman" w:cs="Times New Roman"/>
          <w:b/>
          <w:bCs/>
          <w:sz w:val="28"/>
          <w:szCs w:val="28"/>
        </w:rPr>
        <w:t>, Akash</w:t>
      </w:r>
      <w:r w:rsidR="008B355B">
        <w:rPr>
          <w:rFonts w:ascii="Times New Roman" w:hAnsi="Times New Roman" w:cs="Times New Roman"/>
          <w:b/>
          <w:bCs/>
          <w:sz w:val="28"/>
          <w:szCs w:val="28"/>
          <w:vertAlign w:val="superscript"/>
        </w:rPr>
        <w:t>2</w:t>
      </w:r>
    </w:p>
    <w:p w14:paraId="2567B8ED" w14:textId="4FAB2C9E" w:rsidR="00EE0764" w:rsidRPr="00F06610" w:rsidRDefault="000002FD" w:rsidP="00EE0764">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sidR="00EE0764" w:rsidRPr="00F06610">
        <w:rPr>
          <w:rFonts w:ascii="Times New Roman" w:hAnsi="Times New Roman" w:cs="Times New Roman"/>
          <w:sz w:val="24"/>
          <w:szCs w:val="24"/>
        </w:rPr>
        <w:t>Student, A. U. College of Pharmaceutical Sciences, Andhra University, Visakhapatnam- 530003, Andhra Pradesh, India</w:t>
      </w:r>
    </w:p>
    <w:p w14:paraId="02357610" w14:textId="6C63A159" w:rsidR="000002FD" w:rsidRPr="009C1522" w:rsidRDefault="00B813D2" w:rsidP="000002FD">
      <w:pPr>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000002FD">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000002FD" w:rsidRPr="00F06610">
        <w:rPr>
          <w:rFonts w:ascii="Times New Roman" w:hAnsi="Times New Roman" w:cs="Times New Roman"/>
          <w:sz w:val="24"/>
          <w:szCs w:val="24"/>
        </w:rPr>
        <w:t>Research Scholar, A. U. College of Pharmaceutical Sciences, Andhra University, Visakhapatnam-530003, Andhra Pradesh, India</w:t>
      </w:r>
    </w:p>
    <w:p w14:paraId="6EA6422B" w14:textId="77777777" w:rsidR="008B355B" w:rsidRPr="006B4C80" w:rsidRDefault="008B355B" w:rsidP="00037CD3">
      <w:pPr>
        <w:jc w:val="center"/>
        <w:rPr>
          <w:rFonts w:ascii="Times New Roman" w:hAnsi="Times New Roman" w:cs="Times New Roman"/>
          <w:sz w:val="28"/>
          <w:szCs w:val="28"/>
          <w:vertAlign w:val="superscript"/>
        </w:rPr>
      </w:pPr>
    </w:p>
    <w:p w14:paraId="3A367713" w14:textId="2F614F41" w:rsidR="00DF2685" w:rsidRPr="00AF1FE4" w:rsidRDefault="00DF2685" w:rsidP="00DF2685">
      <w:pPr>
        <w:jc w:val="both"/>
        <w:rPr>
          <w:rFonts w:ascii="Times New Roman" w:hAnsi="Times New Roman" w:cs="Times New Roman"/>
          <w:b/>
          <w:bCs/>
          <w:color w:val="0D0D0D"/>
          <w:sz w:val="24"/>
          <w:szCs w:val="24"/>
          <w:shd w:val="clear" w:color="auto" w:fill="FFFFFF"/>
        </w:rPr>
      </w:pPr>
      <w:r w:rsidRPr="007E2122">
        <w:rPr>
          <w:rFonts w:ascii="Times New Roman" w:hAnsi="Times New Roman" w:cs="Times New Roman"/>
          <w:b/>
          <w:bCs/>
          <w:sz w:val="24"/>
          <w:szCs w:val="24"/>
        </w:rPr>
        <w:t>ABSTRACT:</w:t>
      </w:r>
      <w:r>
        <w:rPr>
          <w:rFonts w:ascii="Times New Roman" w:hAnsi="Times New Roman" w:cs="Times New Roman"/>
          <w:b/>
          <w:bCs/>
          <w:sz w:val="28"/>
          <w:szCs w:val="28"/>
        </w:rPr>
        <w:t xml:space="preserve"> </w:t>
      </w:r>
      <w:r w:rsidRPr="007E2122">
        <w:rPr>
          <w:rFonts w:ascii="Times New Roman" w:hAnsi="Times New Roman" w:cs="Times New Roman"/>
          <w:color w:val="0D0D0D"/>
          <w:sz w:val="24"/>
          <w:szCs w:val="24"/>
          <w:shd w:val="clear" w:color="auto" w:fill="FFFFFF"/>
        </w:rPr>
        <w:t>This study provides a comparative analysis of pharmacovigilance systems in India, the US, and Australia, examining regulatory frameworks, organizational structures, ADR reporting processes, data utilization, challenges, and opportunities. It identifies common challenges such as underreporting and resource constraints, while also exploring opportunities for international collaboration and the advancement of patient safety practices globally. Moreover, the study identifies and analyzes common challenges encountered by pharmacovigilance systems in India, the US, and Australia, including issues related to</w:t>
      </w:r>
      <w:r w:rsidR="007E2122">
        <w:rPr>
          <w:rFonts w:ascii="Times New Roman" w:hAnsi="Times New Roman" w:cs="Times New Roman"/>
          <w:color w:val="0D0D0D"/>
          <w:sz w:val="24"/>
          <w:szCs w:val="24"/>
          <w:shd w:val="clear" w:color="auto" w:fill="FFFFFF"/>
        </w:rPr>
        <w:t xml:space="preserve"> </w:t>
      </w:r>
      <w:r w:rsidRPr="007E2122">
        <w:rPr>
          <w:rFonts w:ascii="Times New Roman" w:hAnsi="Times New Roman" w:cs="Times New Roman"/>
          <w:color w:val="0D0D0D"/>
          <w:sz w:val="24"/>
          <w:szCs w:val="24"/>
          <w:shd w:val="clear" w:color="auto" w:fill="FFFFFF"/>
        </w:rPr>
        <w:t>resource limitations, globalization of drug development, emerging technologies, and the need for international collaboration.</w:t>
      </w:r>
      <w:r w:rsidR="007E2122" w:rsidRPr="007E2122">
        <w:rPr>
          <w:rFonts w:ascii="Times New Roman" w:hAnsi="Times New Roman" w:cs="Times New Roman"/>
          <w:color w:val="0D0D0D"/>
          <w:sz w:val="24"/>
          <w:szCs w:val="24"/>
          <w:shd w:val="clear" w:color="auto" w:fill="FFFFFF"/>
        </w:rPr>
        <w:t xml:space="preserve"> By synthesizing insights from diverse regulatory environments, healthcare systems, and cultural contexts, this study provides valuable comparative perspectives on global pharmacovigilance practices. It offers recommendations for enhancing pharmacovigilance capabilities, fostering collaboration between countries, and advancing patient safety on a global scale</w:t>
      </w:r>
      <w:r w:rsidR="00AF1FE4">
        <w:rPr>
          <w:rFonts w:ascii="Times New Roman" w:hAnsi="Times New Roman" w:cs="Times New Roman"/>
          <w:color w:val="0D0D0D"/>
          <w:sz w:val="24"/>
          <w:szCs w:val="24"/>
          <w:shd w:val="clear" w:color="auto" w:fill="FFFFFF"/>
        </w:rPr>
        <w:t>.</w:t>
      </w:r>
    </w:p>
    <w:p w14:paraId="43C86BBE" w14:textId="724247B2" w:rsidR="00AF1FE4" w:rsidRPr="00AF1FE4" w:rsidRDefault="00AF1FE4" w:rsidP="00DF2685">
      <w:pPr>
        <w:jc w:val="both"/>
        <w:rPr>
          <w:rFonts w:ascii="Times New Roman" w:hAnsi="Times New Roman" w:cs="Times New Roman"/>
          <w:sz w:val="24"/>
          <w:szCs w:val="24"/>
        </w:rPr>
      </w:pPr>
      <w:r w:rsidRPr="00AF1FE4">
        <w:rPr>
          <w:rFonts w:ascii="Times New Roman" w:hAnsi="Times New Roman" w:cs="Times New Roman"/>
          <w:b/>
          <w:bCs/>
          <w:color w:val="0D0D0D"/>
          <w:sz w:val="24"/>
          <w:szCs w:val="24"/>
          <w:shd w:val="clear" w:color="auto" w:fill="FFFFFF"/>
        </w:rPr>
        <w:t>KEYWORDS:</w:t>
      </w:r>
      <w:r>
        <w:rPr>
          <w:rFonts w:ascii="Times New Roman" w:hAnsi="Times New Roman" w:cs="Times New Roman"/>
          <w:b/>
          <w:bCs/>
          <w:color w:val="0D0D0D"/>
          <w:sz w:val="24"/>
          <w:szCs w:val="24"/>
          <w:shd w:val="clear" w:color="auto" w:fill="FFFFFF"/>
        </w:rPr>
        <w:t xml:space="preserve"> </w:t>
      </w:r>
      <w:r>
        <w:rPr>
          <w:rFonts w:ascii="Times New Roman" w:hAnsi="Times New Roman" w:cs="Times New Roman"/>
          <w:color w:val="0D0D0D"/>
          <w:sz w:val="24"/>
          <w:szCs w:val="24"/>
          <w:shd w:val="clear" w:color="auto" w:fill="FFFFFF"/>
        </w:rPr>
        <w:t>Pharmacovigilance, ADR, Fostering, Regulatory framework.</w:t>
      </w:r>
    </w:p>
    <w:p w14:paraId="30A81F27" w14:textId="33A856F3" w:rsidR="000E4843" w:rsidRPr="002900ED" w:rsidRDefault="00BD573C">
      <w:pPr>
        <w:rPr>
          <w:rFonts w:ascii="Times New Roman" w:hAnsi="Times New Roman" w:cs="Times New Roman"/>
          <w:b/>
          <w:bCs/>
          <w:sz w:val="24"/>
          <w:szCs w:val="24"/>
        </w:rPr>
      </w:pPr>
      <w:r w:rsidRPr="002900ED">
        <w:rPr>
          <w:rFonts w:ascii="Times New Roman" w:hAnsi="Times New Roman" w:cs="Times New Roman"/>
          <w:b/>
          <w:bCs/>
          <w:sz w:val="24"/>
          <w:szCs w:val="24"/>
        </w:rPr>
        <w:t>INTRODUCTION:</w:t>
      </w:r>
      <w:r w:rsidR="00751171">
        <w:rPr>
          <w:rFonts w:ascii="Times New Roman" w:hAnsi="Times New Roman" w:cs="Times New Roman"/>
          <w:b/>
          <w:bCs/>
          <w:sz w:val="24"/>
          <w:szCs w:val="24"/>
        </w:rPr>
        <w:t xml:space="preserve"> </w:t>
      </w:r>
    </w:p>
    <w:p w14:paraId="00083AEA" w14:textId="51C5C349" w:rsidR="00BD573C" w:rsidRDefault="003A254B"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3A254B">
        <w:rPr>
          <w:rFonts w:ascii="Times New Roman" w:eastAsia="Times New Roman" w:hAnsi="Times New Roman" w:cs="Times New Roman"/>
          <w:noProof w:val="0"/>
          <w:kern w:val="0"/>
          <w:sz w:val="24"/>
          <w:szCs w:val="24"/>
          <w:lang w:eastAsia="en-IN"/>
          <w14:ligatures w14:val="none"/>
        </w:rPr>
        <w:t>Pharmacovigilance (PV) is defined by the World Health Organization (WHO) as "the science and activities relating to the detection, assessment, understanding, and prevention of adverse effects or any other potential drug-related problems."</w:t>
      </w:r>
      <w:r w:rsidR="00BD573C" w:rsidRPr="002900ED">
        <w:rPr>
          <w:rFonts w:ascii="Times New Roman" w:hAnsi="Times New Roman" w:cs="Times New Roman"/>
          <w:sz w:val="24"/>
          <w:szCs w:val="24"/>
        </w:rPr>
        <w:t>[1].It is an organized activity in the professional health area with significant social and economic repercussions that aims to evaluate pharmacological risk/benefit ratios while also enhancing patient safety and quality of life.</w:t>
      </w:r>
      <w:r w:rsidR="002900ED" w:rsidRPr="002900ED">
        <w:rPr>
          <w:rFonts w:ascii="Times New Roman" w:hAnsi="Times New Roman" w:cs="Times New Roman"/>
          <w:sz w:val="24"/>
          <w:szCs w:val="24"/>
        </w:rPr>
        <w:t xml:space="preserve"> </w:t>
      </w:r>
      <w:r w:rsidR="00BD573C" w:rsidRPr="002900ED">
        <w:rPr>
          <w:rFonts w:ascii="Times New Roman" w:hAnsi="Times New Roman" w:cs="Times New Roman"/>
          <w:sz w:val="24"/>
          <w:szCs w:val="24"/>
        </w:rPr>
        <w:t>Pharmacovigilance must constantly adjust in response to new medical developments.</w:t>
      </w:r>
      <w:r w:rsidR="002900ED" w:rsidRPr="002900ED">
        <w:rPr>
          <w:rFonts w:ascii="Times New Roman" w:hAnsi="Times New Roman" w:cs="Times New Roman"/>
          <w:sz w:val="24"/>
          <w:szCs w:val="24"/>
        </w:rPr>
        <w:t xml:space="preserve"> </w:t>
      </w:r>
      <w:r w:rsidR="00BD573C" w:rsidRPr="002900ED">
        <w:rPr>
          <w:rFonts w:ascii="Times New Roman" w:hAnsi="Times New Roman" w:cs="Times New Roman"/>
          <w:sz w:val="24"/>
          <w:szCs w:val="24"/>
        </w:rPr>
        <w:t xml:space="preserve">Pharmacovigilance and all drug safety issues are important to everyone whose life has been influenced in some manner by medical interventions.[2] Pharmacovigilance has developed and will continue to develop in response to the specific needs and strengths of WHO Programme participants. </w:t>
      </w:r>
      <w:r w:rsidR="00BD573C" w:rsidRPr="002900ED">
        <w:rPr>
          <w:rFonts w:ascii="Times New Roman" w:eastAsia="Times New Roman" w:hAnsi="Times New Roman" w:cs="Times New Roman"/>
          <w:noProof w:val="0"/>
          <w:kern w:val="0"/>
          <w:sz w:val="24"/>
          <w:szCs w:val="24"/>
          <w:lang w:eastAsia="en-IN" w:bidi="te-IN"/>
          <w14:ligatures w14:val="none"/>
        </w:rPr>
        <w:t xml:space="preserve">Pharmacovigilance, or the research of pharmacological benefits and dangers in general, is an important part of pharmacotherapeutic decision-making at the individual, regional, national, and international levels. Furthermore, pharmacovigilance is emerging as a distinct scientific discipline. </w:t>
      </w:r>
      <w:r w:rsidR="002900ED" w:rsidRPr="002900ED">
        <w:rPr>
          <w:rFonts w:ascii="Times New Roman" w:eastAsia="Times New Roman" w:hAnsi="Times New Roman" w:cs="Times New Roman"/>
          <w:noProof w:val="0"/>
          <w:kern w:val="0"/>
          <w:sz w:val="24"/>
          <w:szCs w:val="24"/>
          <w:lang w:eastAsia="en-IN" w:bidi="te-IN"/>
          <w14:ligatures w14:val="none"/>
        </w:rPr>
        <w:t>Several</w:t>
      </w:r>
      <w:r w:rsidR="00BD573C" w:rsidRPr="002900ED">
        <w:rPr>
          <w:rFonts w:ascii="Times New Roman" w:eastAsia="Times New Roman" w:hAnsi="Times New Roman" w:cs="Times New Roman"/>
          <w:noProof w:val="0"/>
          <w:kern w:val="0"/>
          <w:sz w:val="24"/>
          <w:szCs w:val="24"/>
          <w:lang w:eastAsia="en-IN" w:bidi="te-IN"/>
          <w14:ligatures w14:val="none"/>
        </w:rPr>
        <w:t xml:space="preserve"> developments are occurring in the complicated system of drug development, regulation, and distribution. Pharmacovigilance should be proactive in assessing the potential outcomes.[3] The detection of new adverse drug responses is critical to protecting patients from potential harm caused by medicine.[4] The </w:t>
      </w:r>
      <w:r w:rsidR="002900ED" w:rsidRPr="002900ED">
        <w:rPr>
          <w:rFonts w:ascii="Times New Roman" w:eastAsia="Times New Roman" w:hAnsi="Times New Roman" w:cs="Times New Roman"/>
          <w:noProof w:val="0"/>
          <w:kern w:val="0"/>
          <w:sz w:val="24"/>
          <w:szCs w:val="24"/>
          <w:lang w:eastAsia="en-IN" w:bidi="te-IN"/>
          <w14:ligatures w14:val="none"/>
        </w:rPr>
        <w:t>healthcare</w:t>
      </w:r>
      <w:r w:rsidR="00BD573C" w:rsidRPr="002900ED">
        <w:rPr>
          <w:rFonts w:ascii="Times New Roman" w:eastAsia="Times New Roman" w:hAnsi="Times New Roman" w:cs="Times New Roman"/>
          <w:noProof w:val="0"/>
          <w:kern w:val="0"/>
          <w:sz w:val="24"/>
          <w:szCs w:val="24"/>
          <w:lang w:eastAsia="en-IN" w:bidi="te-IN"/>
          <w14:ligatures w14:val="none"/>
        </w:rPr>
        <w:t xml:space="preserve"> system needs new techniques to understand the risk-benefit ratio of medications.[5] In the United States, drug safety monitoring laws were implemented in 1962; in Europe, they were implemented between 1963 and 1964.</w:t>
      </w:r>
      <w:r w:rsidR="00F6119F" w:rsidRPr="002900ED">
        <w:rPr>
          <w:rFonts w:ascii="Times New Roman" w:hAnsi="Times New Roman" w:cs="Times New Roman"/>
          <w:sz w:val="24"/>
          <w:szCs w:val="24"/>
        </w:rPr>
        <w:t xml:space="preserve"> </w:t>
      </w:r>
      <w:r w:rsidR="00F6119F" w:rsidRPr="002900ED">
        <w:rPr>
          <w:rFonts w:ascii="Times New Roman" w:eastAsia="Times New Roman" w:hAnsi="Times New Roman" w:cs="Times New Roman"/>
          <w:noProof w:val="0"/>
          <w:kern w:val="0"/>
          <w:sz w:val="24"/>
          <w:szCs w:val="24"/>
          <w:lang w:eastAsia="en-IN" w:bidi="te-IN"/>
          <w14:ligatures w14:val="none"/>
        </w:rPr>
        <w:t xml:space="preserve">However, in 1997, India joined the WHO-ADR monitoring program </w:t>
      </w:r>
      <w:r w:rsidR="00F6119F" w:rsidRPr="002900ED">
        <w:rPr>
          <w:rFonts w:ascii="Times New Roman" w:eastAsia="Times New Roman" w:hAnsi="Times New Roman" w:cs="Times New Roman"/>
          <w:noProof w:val="0"/>
          <w:kern w:val="0"/>
          <w:sz w:val="24"/>
          <w:szCs w:val="24"/>
          <w:lang w:eastAsia="en-IN" w:bidi="te-IN"/>
          <w14:ligatures w14:val="none"/>
        </w:rPr>
        <w:lastRenderedPageBreak/>
        <w:t xml:space="preserve">with three countrywide </w:t>
      </w:r>
      <w:r w:rsidR="008B7A51">
        <w:rPr>
          <w:rFonts w:ascii="Times New Roman" w:eastAsia="Times New Roman" w:hAnsi="Times New Roman" w:cs="Times New Roman"/>
          <w:noProof w:val="0"/>
          <w:kern w:val="0"/>
          <w:sz w:val="24"/>
          <w:szCs w:val="24"/>
          <w:lang w:eastAsia="en-IN" w:bidi="te-IN"/>
          <w14:ligatures w14:val="none"/>
        </w:rPr>
        <w:t>centres</w:t>
      </w:r>
      <w:r w:rsidR="00F6119F" w:rsidRPr="002900ED">
        <w:rPr>
          <w:rFonts w:ascii="Times New Roman" w:eastAsia="Times New Roman" w:hAnsi="Times New Roman" w:cs="Times New Roman"/>
          <w:noProof w:val="0"/>
          <w:kern w:val="0"/>
          <w:sz w:val="24"/>
          <w:szCs w:val="24"/>
          <w:lang w:eastAsia="en-IN" w:bidi="te-IN"/>
          <w14:ligatures w14:val="none"/>
        </w:rPr>
        <w:t>.  However, an important program has been established by the Central Drugs Standard Control Organization (CDSCO) under the Government of India, a nationwide pharmacovigilance program in July 2010, to monitor ADR in the country to safeguard public health</w:t>
      </w:r>
      <w:r w:rsidR="003D6CE6">
        <w:rPr>
          <w:rFonts w:ascii="Times New Roman" w:eastAsia="Times New Roman" w:hAnsi="Times New Roman" w:cs="Times New Roman"/>
          <w:noProof w:val="0"/>
          <w:kern w:val="0"/>
          <w:sz w:val="24"/>
          <w:szCs w:val="24"/>
          <w:lang w:eastAsia="en-IN" w:bidi="te-IN"/>
          <w14:ligatures w14:val="none"/>
        </w:rPr>
        <w:t xml:space="preserve"> </w:t>
      </w:r>
      <w:r w:rsidR="00F6119F" w:rsidRPr="002900ED">
        <w:rPr>
          <w:rFonts w:ascii="Times New Roman" w:eastAsia="Times New Roman" w:hAnsi="Times New Roman" w:cs="Times New Roman"/>
          <w:noProof w:val="0"/>
          <w:kern w:val="0"/>
          <w:sz w:val="24"/>
          <w:szCs w:val="24"/>
          <w:lang w:eastAsia="en-IN" w:bidi="te-IN"/>
          <w14:ligatures w14:val="none"/>
        </w:rPr>
        <w:t>[5]. WHO's Pharmacovigilance team aims to ensure the safety of medicines and vaccines by ensuring the reliable and timely exchange of information on safety issues, promoting pharmacovigilance activities throughout the Organization, and encouraging participation in the WHO Programme for International Drug Monitoring[6]. Pharmacovigilance is a significant and essential component of clinical research. Both clinical trial safety and post-marketing pharmacovigilance are crucial throughout the product's lifecycle, particularly in terms of safety</w:t>
      </w:r>
      <w:r w:rsidR="003D6CE6">
        <w:rPr>
          <w:rFonts w:ascii="Times New Roman" w:eastAsia="Times New Roman" w:hAnsi="Times New Roman" w:cs="Times New Roman"/>
          <w:noProof w:val="0"/>
          <w:kern w:val="0"/>
          <w:sz w:val="24"/>
          <w:szCs w:val="24"/>
          <w:lang w:eastAsia="en-IN" w:bidi="te-IN"/>
          <w14:ligatures w14:val="none"/>
        </w:rPr>
        <w:t xml:space="preserve"> </w:t>
      </w:r>
      <w:r w:rsidR="00F6119F" w:rsidRPr="002900ED">
        <w:rPr>
          <w:rFonts w:ascii="Times New Roman" w:eastAsia="Times New Roman" w:hAnsi="Times New Roman" w:cs="Times New Roman"/>
          <w:noProof w:val="0"/>
          <w:kern w:val="0"/>
          <w:sz w:val="24"/>
          <w:szCs w:val="24"/>
          <w:lang w:eastAsia="en-IN" w:bidi="te-IN"/>
          <w14:ligatures w14:val="none"/>
        </w:rPr>
        <w:t>[7].</w:t>
      </w:r>
    </w:p>
    <w:p w14:paraId="0009FA81" w14:textId="77777777" w:rsidR="008B7A51" w:rsidRPr="002900ED" w:rsidRDefault="008B7A51" w:rsidP="008B7A51">
      <w:pPr>
        <w:spacing w:after="0" w:line="240" w:lineRule="auto"/>
        <w:jc w:val="both"/>
        <w:rPr>
          <w:rFonts w:ascii="Times New Roman" w:eastAsia="Times New Roman" w:hAnsi="Times New Roman" w:cs="Times New Roman"/>
          <w:noProof w:val="0"/>
          <w:kern w:val="0"/>
          <w:sz w:val="24"/>
          <w:szCs w:val="24"/>
          <w:lang w:eastAsia="en-IN"/>
          <w14:ligatures w14:val="none"/>
        </w:rPr>
      </w:pPr>
    </w:p>
    <w:p w14:paraId="58EDE424" w14:textId="040F2AA4" w:rsidR="005851C6" w:rsidRPr="002900ED" w:rsidRDefault="005851C6" w:rsidP="00F6119F">
      <w:pPr>
        <w:jc w:val="both"/>
        <w:rPr>
          <w:rFonts w:ascii="Times New Roman" w:eastAsia="Times New Roman" w:hAnsi="Times New Roman" w:cs="Times New Roman"/>
          <w:b/>
          <w:bCs/>
          <w:noProof w:val="0"/>
          <w:kern w:val="0"/>
          <w:sz w:val="24"/>
          <w:szCs w:val="24"/>
          <w:lang w:eastAsia="en-IN" w:bidi="te-IN"/>
          <w14:ligatures w14:val="none"/>
        </w:rPr>
      </w:pPr>
      <w:r w:rsidRPr="002900ED">
        <w:rPr>
          <w:rFonts w:ascii="Times New Roman" w:eastAsia="Times New Roman" w:hAnsi="Times New Roman" w:cs="Times New Roman"/>
          <w:b/>
          <w:bCs/>
          <w:noProof w:val="0"/>
          <w:kern w:val="0"/>
          <w:sz w:val="24"/>
          <w:szCs w:val="24"/>
          <w:lang w:eastAsia="en-IN" w:bidi="te-IN"/>
          <w14:ligatures w14:val="none"/>
        </w:rPr>
        <w:t>PUROSE OF PHARMACOVIGILANCE</w:t>
      </w:r>
    </w:p>
    <w:p w14:paraId="1A507962" w14:textId="77777777" w:rsidR="005851C6" w:rsidRPr="002900ED" w:rsidRDefault="005851C6" w:rsidP="008B7A51">
      <w:pPr>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Pharmacovigilance is the process of gathering, monitoring, investigating, assessing, and evaluating information from healthcare practitioners, pharmaceutical firms, and patients regarding the harmful effects of drugs, biologicals, herbal, and traditional therapies.</w:t>
      </w:r>
    </w:p>
    <w:p w14:paraId="1C4D6A10" w14:textId="77777777" w:rsidR="005851C6" w:rsidRPr="002900ED" w:rsidRDefault="005851C6" w:rsidP="008B7A51">
      <w:pPr>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Pharmacovigilance entails monitoring and assessing drug quality, as well as detecting and preventing side effects. Its objectives include identifying new knowledge regarding potential dangers connected with medicines.</w:t>
      </w:r>
    </w:p>
    <w:p w14:paraId="479F6F65" w14:textId="77777777" w:rsidR="005851C6" w:rsidRPr="002900ED" w:rsidRDefault="005851C6" w:rsidP="008B7A51">
      <w:pPr>
        <w:numPr>
          <w:ilvl w:val="0"/>
          <w:numId w:val="1"/>
        </w:numPr>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To avoid injury to patients. </w:t>
      </w:r>
    </w:p>
    <w:p w14:paraId="6B25EFA6" w14:textId="77777777" w:rsidR="005851C6" w:rsidRPr="002900ED" w:rsidRDefault="005851C6" w:rsidP="008B7A51">
      <w:pPr>
        <w:numPr>
          <w:ilvl w:val="0"/>
          <w:numId w:val="1"/>
        </w:numPr>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To improve patient care and safety when using medications and performing other medical and paramedical procedures.</w:t>
      </w:r>
    </w:p>
    <w:p w14:paraId="3A9FF225" w14:textId="4E749FDE" w:rsidR="005851C6" w:rsidRPr="002900ED" w:rsidRDefault="005851C6" w:rsidP="008B7A51">
      <w:pPr>
        <w:numPr>
          <w:ilvl w:val="0"/>
          <w:numId w:val="1"/>
        </w:numPr>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To evaluate the quantitative aspects of benefit-risk analysis and information dissemination required to improve drug prescribing and regulation.[8]</w:t>
      </w:r>
    </w:p>
    <w:p w14:paraId="2756572F" w14:textId="77777777" w:rsidR="009F4B19" w:rsidRPr="002900ED" w:rsidRDefault="009F4B19" w:rsidP="008B7A51">
      <w:pPr>
        <w:numPr>
          <w:ilvl w:val="0"/>
          <w:numId w:val="1"/>
        </w:numPr>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1. Improve public health and safety when using pharmaceuticals.</w:t>
      </w:r>
    </w:p>
    <w:p w14:paraId="365B6158" w14:textId="77777777" w:rsidR="009F4B19" w:rsidRPr="002900ED" w:rsidRDefault="009F4B19" w:rsidP="008B7A51">
      <w:pPr>
        <w:numPr>
          <w:ilvl w:val="0"/>
          <w:numId w:val="1"/>
        </w:numPr>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2. Educate and instruct the public on pharmacovigilance. </w:t>
      </w:r>
    </w:p>
    <w:p w14:paraId="2FA21B43" w14:textId="3C0D2147" w:rsidR="009F4B19" w:rsidRPr="002900ED" w:rsidRDefault="009F4B19" w:rsidP="008B7A51">
      <w:pPr>
        <w:numPr>
          <w:ilvl w:val="0"/>
          <w:numId w:val="1"/>
        </w:numPr>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3. Detect and communicate medication-related issues promptly.[9] Improve patient care and safety when using medications and performing other medical and paramedical procedures. Investigate the efficacy of medications and monitor their detrimental effects from the lab to the pharmacy for many years. Pharmacovigilance monitors any adverse effects of medications.[10] The detection of improper prescriptions and administrations. Detecting substantial drug-drug interactions between new medications and co-therapy with agents already on the market, which may only be detected during </w:t>
      </w:r>
      <w:r w:rsidR="003D6CE6">
        <w:rPr>
          <w:rFonts w:ascii="Times New Roman" w:eastAsia="Times New Roman" w:hAnsi="Times New Roman" w:cs="Times New Roman"/>
          <w:noProof w:val="0"/>
          <w:kern w:val="0"/>
          <w:sz w:val="24"/>
          <w:szCs w:val="24"/>
          <w:lang w:eastAsia="en-IN" w:bidi="te-IN"/>
          <w14:ligatures w14:val="none"/>
        </w:rPr>
        <w:t>widespread</w:t>
      </w:r>
      <w:r w:rsidRPr="002900ED">
        <w:rPr>
          <w:rFonts w:ascii="Times New Roman" w:eastAsia="Times New Roman" w:hAnsi="Times New Roman" w:cs="Times New Roman"/>
          <w:noProof w:val="0"/>
          <w:kern w:val="0"/>
          <w:sz w:val="24"/>
          <w:szCs w:val="24"/>
          <w:lang w:eastAsia="en-IN" w:bidi="te-IN"/>
          <w14:ligatures w14:val="none"/>
        </w:rPr>
        <w:t xml:space="preserve"> use.</w:t>
      </w:r>
      <w:r w:rsidR="00C30A64" w:rsidRPr="002900ED">
        <w:rPr>
          <w:rFonts w:ascii="Times New Roman" w:eastAsia="Times New Roman" w:hAnsi="Times New Roman" w:cs="Times New Roman"/>
          <w:noProof w:val="0"/>
          <w:kern w:val="0"/>
          <w:sz w:val="24"/>
          <w:szCs w:val="24"/>
          <w:lang w:eastAsia="en-IN" w:bidi="te-IN"/>
          <w14:ligatures w14:val="none"/>
        </w:rPr>
        <w:t>[11]</w:t>
      </w:r>
    </w:p>
    <w:p w14:paraId="5F5A1CD4" w14:textId="5104C0F2" w:rsidR="00BD573C" w:rsidRPr="002900ED" w:rsidRDefault="00C30A64"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 xml:space="preserve"> IMPORTANCE OF PHARMACOVIGILANCE</w:t>
      </w:r>
    </w:p>
    <w:p w14:paraId="659E20EF" w14:textId="5D133A96" w:rsidR="00C30A64" w:rsidRPr="002900ED" w:rsidRDefault="008B7A51"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Pr>
          <w:rFonts w:ascii="Times New Roman" w:eastAsia="Times New Roman" w:hAnsi="Times New Roman" w:cs="Times New Roman"/>
          <w:noProof w:val="0"/>
          <w:kern w:val="0"/>
          <w:sz w:val="24"/>
          <w:szCs w:val="24"/>
          <w:lang w:eastAsia="en-IN" w:bidi="te-IN"/>
          <w14:ligatures w14:val="none"/>
        </w:rPr>
        <w:t xml:space="preserve"> </w:t>
      </w:r>
      <w:r w:rsidR="00C30A64" w:rsidRPr="002900ED">
        <w:rPr>
          <w:rFonts w:ascii="Times New Roman" w:eastAsia="Times New Roman" w:hAnsi="Times New Roman" w:cs="Times New Roman"/>
          <w:noProof w:val="0"/>
          <w:kern w:val="0"/>
          <w:sz w:val="24"/>
          <w:szCs w:val="24"/>
          <w:lang w:eastAsia="en-IN" w:bidi="te-IN"/>
          <w14:ligatures w14:val="none"/>
        </w:rPr>
        <w:t>The WHO's pharmacovigilance team works to ensure the safety of pharmaceuticals and</w:t>
      </w:r>
      <w:r>
        <w:rPr>
          <w:rFonts w:ascii="Times New Roman" w:eastAsia="Times New Roman" w:hAnsi="Times New Roman" w:cs="Times New Roman"/>
          <w:noProof w:val="0"/>
          <w:kern w:val="0"/>
          <w:sz w:val="24"/>
          <w:szCs w:val="24"/>
          <w:lang w:eastAsia="en-IN" w:bidi="te-IN"/>
          <w14:ligatures w14:val="none"/>
        </w:rPr>
        <w:t xml:space="preserve"> </w:t>
      </w:r>
      <w:r w:rsidR="00C30A64" w:rsidRPr="002900ED">
        <w:rPr>
          <w:rFonts w:ascii="Times New Roman" w:eastAsia="Times New Roman" w:hAnsi="Times New Roman" w:cs="Times New Roman"/>
          <w:noProof w:val="0"/>
          <w:kern w:val="0"/>
          <w:sz w:val="24"/>
          <w:szCs w:val="24"/>
          <w:lang w:eastAsia="en-IN" w:bidi="te-IN"/>
          <w14:ligatures w14:val="none"/>
        </w:rPr>
        <w:t>vaccines by facilitating the timely and dependable exchange of safety-related information, advancing pharmacovigilance initiatives across the WHO, and fostering involvement in the WHO Program for International Drug Monitoring.[12]</w:t>
      </w:r>
    </w:p>
    <w:p w14:paraId="363D5739" w14:textId="77777777" w:rsidR="00C30A64" w:rsidRPr="002900ED" w:rsidRDefault="00C30A64" w:rsidP="00C30A64">
      <w:pPr>
        <w:spacing w:after="0" w:line="240" w:lineRule="auto"/>
        <w:jc w:val="both"/>
        <w:rPr>
          <w:rFonts w:ascii="Times New Roman" w:eastAsia="Times New Roman" w:hAnsi="Times New Roman" w:cs="Times New Roman"/>
          <w:noProof w:val="0"/>
          <w:kern w:val="0"/>
          <w:sz w:val="24"/>
          <w:szCs w:val="24"/>
          <w:lang w:eastAsia="en-IN" w:bidi="te-IN"/>
          <w14:ligatures w14:val="none"/>
        </w:rPr>
      </w:pPr>
    </w:p>
    <w:p w14:paraId="6D8A2276" w14:textId="65EE3F32" w:rsidR="00C30A64" w:rsidRPr="002900ED" w:rsidRDefault="00C30A64" w:rsidP="008B7A51">
      <w:pPr>
        <w:jc w:val="both"/>
        <w:rPr>
          <w:rFonts w:ascii="Times New Roman" w:hAnsi="Times New Roman" w:cs="Times New Roman"/>
          <w:sz w:val="24"/>
          <w:szCs w:val="24"/>
        </w:rPr>
      </w:pPr>
      <w:r w:rsidRPr="002900ED">
        <w:rPr>
          <w:rFonts w:ascii="Times New Roman" w:hAnsi="Times New Roman" w:cs="Times New Roman"/>
          <w:sz w:val="24"/>
          <w:szCs w:val="24"/>
        </w:rPr>
        <w:t xml:space="preserve">Pharmacovigilance is important for the reasons listed below. </w:t>
      </w:r>
    </w:p>
    <w:p w14:paraId="6509E7B7" w14:textId="77777777" w:rsidR="00C30A64" w:rsidRPr="002900ED" w:rsidRDefault="00C30A64" w:rsidP="008B7A51">
      <w:pPr>
        <w:jc w:val="both"/>
        <w:rPr>
          <w:rFonts w:ascii="Times New Roman" w:hAnsi="Times New Roman" w:cs="Times New Roman"/>
          <w:sz w:val="24"/>
          <w:szCs w:val="24"/>
        </w:rPr>
      </w:pPr>
      <w:r w:rsidRPr="002900ED">
        <w:rPr>
          <w:rFonts w:ascii="Times New Roman" w:hAnsi="Times New Roman" w:cs="Times New Roman"/>
          <w:sz w:val="24"/>
          <w:szCs w:val="24"/>
        </w:rPr>
        <w:t xml:space="preserve"> 1. Medication safety observation. </w:t>
      </w:r>
    </w:p>
    <w:p w14:paraId="70E0036A" w14:textId="77777777" w:rsidR="00C30A64" w:rsidRPr="002900ED" w:rsidRDefault="00C30A64" w:rsidP="008B7A51">
      <w:pPr>
        <w:jc w:val="both"/>
        <w:rPr>
          <w:rFonts w:ascii="Times New Roman" w:hAnsi="Times New Roman" w:cs="Times New Roman"/>
          <w:sz w:val="24"/>
          <w:szCs w:val="24"/>
        </w:rPr>
      </w:pPr>
      <w:r w:rsidRPr="002900ED">
        <w:rPr>
          <w:rFonts w:ascii="Times New Roman" w:hAnsi="Times New Roman" w:cs="Times New Roman"/>
          <w:sz w:val="24"/>
          <w:szCs w:val="24"/>
        </w:rPr>
        <w:lastRenderedPageBreak/>
        <w:t xml:space="preserve">2. Drug surveillance. </w:t>
      </w:r>
    </w:p>
    <w:p w14:paraId="7C237A1B" w14:textId="77777777" w:rsidR="00C30A64" w:rsidRPr="002900ED" w:rsidRDefault="00C30A64" w:rsidP="008B7A51">
      <w:pPr>
        <w:jc w:val="both"/>
        <w:rPr>
          <w:rFonts w:ascii="Times New Roman" w:hAnsi="Times New Roman" w:cs="Times New Roman"/>
          <w:sz w:val="24"/>
          <w:szCs w:val="24"/>
        </w:rPr>
      </w:pPr>
      <w:r w:rsidRPr="002900ED">
        <w:rPr>
          <w:rFonts w:ascii="Times New Roman" w:hAnsi="Times New Roman" w:cs="Times New Roman"/>
          <w:sz w:val="24"/>
          <w:szCs w:val="24"/>
        </w:rPr>
        <w:t xml:space="preserve">3. Adverse effects of pharmaceutical preparations. </w:t>
      </w:r>
    </w:p>
    <w:p w14:paraId="2741076C" w14:textId="77777777" w:rsidR="00C30A64" w:rsidRPr="002900ED" w:rsidRDefault="00C30A64" w:rsidP="008B7A51">
      <w:pPr>
        <w:jc w:val="both"/>
        <w:rPr>
          <w:rFonts w:ascii="Times New Roman" w:hAnsi="Times New Roman" w:cs="Times New Roman"/>
          <w:sz w:val="24"/>
          <w:szCs w:val="24"/>
        </w:rPr>
      </w:pPr>
      <w:r w:rsidRPr="002900ED">
        <w:rPr>
          <w:rFonts w:ascii="Times New Roman" w:hAnsi="Times New Roman" w:cs="Times New Roman"/>
          <w:sz w:val="24"/>
          <w:szCs w:val="24"/>
        </w:rPr>
        <w:t>4. Reporting adverse medication reactions.</w:t>
      </w:r>
    </w:p>
    <w:p w14:paraId="6758FB35" w14:textId="78106008" w:rsidR="00C30A64" w:rsidRPr="002900ED" w:rsidRDefault="00C30A64" w:rsidP="008B7A51">
      <w:pPr>
        <w:jc w:val="both"/>
        <w:rPr>
          <w:rFonts w:ascii="Times New Roman" w:hAnsi="Times New Roman" w:cs="Times New Roman"/>
          <w:sz w:val="24"/>
          <w:szCs w:val="24"/>
        </w:rPr>
      </w:pPr>
      <w:r w:rsidRPr="002900ED">
        <w:rPr>
          <w:rFonts w:ascii="Times New Roman" w:hAnsi="Times New Roman" w:cs="Times New Roman"/>
          <w:sz w:val="24"/>
          <w:szCs w:val="24"/>
        </w:rPr>
        <w:t xml:space="preserve"> 5. Post-marketing product surveillance.</w:t>
      </w:r>
    </w:p>
    <w:p w14:paraId="272B6B5F" w14:textId="014CCD3E" w:rsidR="00C30A64" w:rsidRPr="002900ED" w:rsidRDefault="00C30A64" w:rsidP="008B7A51">
      <w:pPr>
        <w:jc w:val="both"/>
        <w:rPr>
          <w:rFonts w:ascii="Times New Roman" w:hAnsi="Times New Roman" w:cs="Times New Roman"/>
          <w:sz w:val="24"/>
          <w:szCs w:val="24"/>
        </w:rPr>
      </w:pPr>
      <w:r w:rsidRPr="002900ED">
        <w:rPr>
          <w:rFonts w:ascii="Times New Roman" w:hAnsi="Times New Roman" w:cs="Times New Roman"/>
          <w:sz w:val="24"/>
          <w:szCs w:val="24"/>
        </w:rPr>
        <w:t>Pharmacovigilance is crucial for preserving patient health, fostering public confidence, and upholding the integrity of healthcare systems around the globe.[13]</w:t>
      </w:r>
    </w:p>
    <w:p w14:paraId="10BDA1F9" w14:textId="77777777" w:rsidR="008B64D0" w:rsidRDefault="00EB10E9" w:rsidP="008B64D0">
      <w:pPr>
        <w:jc w:val="both"/>
        <w:rPr>
          <w:rFonts w:ascii="Times New Roman" w:hAnsi="Times New Roman" w:cs="Times New Roman"/>
          <w:b/>
          <w:bCs/>
          <w:sz w:val="24"/>
          <w:szCs w:val="24"/>
        </w:rPr>
      </w:pPr>
      <w:r w:rsidRPr="002900ED">
        <w:rPr>
          <w:rFonts w:ascii="Times New Roman" w:hAnsi="Times New Roman" w:cs="Times New Roman"/>
          <w:b/>
          <w:bCs/>
          <w:sz w:val="24"/>
          <w:szCs w:val="24"/>
        </w:rPr>
        <w:t>PATIENT SAFETY AND HEALTH PROTECTION</w:t>
      </w:r>
    </w:p>
    <w:p w14:paraId="76BDB141" w14:textId="79C1894F" w:rsidR="00C30A64" w:rsidRPr="008B64D0" w:rsidRDefault="00C30A64" w:rsidP="008B64D0">
      <w:pPr>
        <w:jc w:val="both"/>
        <w:rPr>
          <w:rFonts w:ascii="Times New Roman" w:hAnsi="Times New Roman" w:cs="Times New Roman"/>
          <w:b/>
          <w:bCs/>
          <w:sz w:val="24"/>
          <w:szCs w:val="24"/>
        </w:rPr>
      </w:pPr>
      <w:r w:rsidRPr="002900ED">
        <w:rPr>
          <w:rFonts w:ascii="Times New Roman" w:eastAsia="Times New Roman" w:hAnsi="Times New Roman" w:cs="Times New Roman"/>
          <w:noProof w:val="0"/>
          <w:kern w:val="0"/>
          <w:sz w:val="24"/>
          <w:szCs w:val="24"/>
          <w:lang w:eastAsia="en-IN" w:bidi="te-IN"/>
          <w14:ligatures w14:val="none"/>
        </w:rPr>
        <w:t>Pharmacovigilance is at the forefront of safeguarding patients' health and safety from the negative effects of drugs. Pharmacovigilance aids in the early detection of safety issues by monitoring and evaluating adverse responses, side effects, and unanticipated medical events connected to medications. This ensures patient safety and reduces potential harm by assisting medical professionals in making educated judgments, changing treatment strategies, or even recalling products as needed.</w:t>
      </w:r>
    </w:p>
    <w:p w14:paraId="36B0F6BA" w14:textId="77777777" w:rsidR="0003075C" w:rsidRPr="002900ED" w:rsidRDefault="0003075C" w:rsidP="0003075C">
      <w:pPr>
        <w:spacing w:after="0" w:line="240" w:lineRule="auto"/>
        <w:jc w:val="both"/>
        <w:rPr>
          <w:rFonts w:ascii="Times New Roman" w:eastAsia="Times New Roman" w:hAnsi="Times New Roman" w:cs="Times New Roman"/>
          <w:noProof w:val="0"/>
          <w:kern w:val="0"/>
          <w:sz w:val="24"/>
          <w:szCs w:val="24"/>
          <w:lang w:eastAsia="en-IN" w:bidi="te-IN"/>
          <w14:ligatures w14:val="none"/>
        </w:rPr>
      </w:pPr>
    </w:p>
    <w:p w14:paraId="24F8684D" w14:textId="2DCEDD17" w:rsidR="0003075C" w:rsidRPr="002900ED" w:rsidRDefault="00EB10E9" w:rsidP="008B7A51">
      <w:pPr>
        <w:spacing w:after="0" w:line="240" w:lineRule="auto"/>
        <w:jc w:val="both"/>
        <w:rPr>
          <w:rFonts w:ascii="Times New Roman" w:eastAsia="Times New Roman" w:hAnsi="Times New Roman" w:cs="Times New Roman"/>
          <w:b/>
          <w:bCs/>
          <w:noProof w:val="0"/>
          <w:kern w:val="0"/>
          <w:sz w:val="24"/>
          <w:szCs w:val="24"/>
          <w:lang w:eastAsia="en-IN" w:bidi="te-IN"/>
          <w14:ligatures w14:val="none"/>
        </w:rPr>
      </w:pPr>
      <w:r w:rsidRPr="002900ED">
        <w:rPr>
          <w:rFonts w:ascii="Times New Roman" w:eastAsia="Times New Roman" w:hAnsi="Times New Roman" w:cs="Times New Roman"/>
          <w:b/>
          <w:bCs/>
          <w:noProof w:val="0"/>
          <w:kern w:val="0"/>
          <w:sz w:val="24"/>
          <w:szCs w:val="24"/>
          <w:lang w:eastAsia="en-IN" w:bidi="te-IN"/>
          <w14:ligatures w14:val="none"/>
        </w:rPr>
        <w:t xml:space="preserve">DETECTING PREVIOUSLY </w:t>
      </w:r>
      <w:r>
        <w:rPr>
          <w:rFonts w:ascii="Times New Roman" w:eastAsia="Times New Roman" w:hAnsi="Times New Roman" w:cs="Times New Roman"/>
          <w:b/>
          <w:bCs/>
          <w:noProof w:val="0"/>
          <w:kern w:val="0"/>
          <w:sz w:val="24"/>
          <w:szCs w:val="24"/>
          <w:lang w:eastAsia="en-IN" w:bidi="te-IN"/>
          <w14:ligatures w14:val="none"/>
        </w:rPr>
        <w:t>UNNOTICED</w:t>
      </w:r>
      <w:r w:rsidRPr="002900ED">
        <w:rPr>
          <w:rFonts w:ascii="Times New Roman" w:eastAsia="Times New Roman" w:hAnsi="Times New Roman" w:cs="Times New Roman"/>
          <w:b/>
          <w:bCs/>
          <w:noProof w:val="0"/>
          <w:kern w:val="0"/>
          <w:sz w:val="24"/>
          <w:szCs w:val="24"/>
          <w:lang w:eastAsia="en-IN" w:bidi="te-IN"/>
          <w14:ligatures w14:val="none"/>
        </w:rPr>
        <w:t xml:space="preserve"> ADVERSE EFFECTS</w:t>
      </w:r>
    </w:p>
    <w:p w14:paraId="2F6E0164" w14:textId="77777777" w:rsidR="008B64D0" w:rsidRDefault="008B64D0"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p>
    <w:p w14:paraId="60A5D83F" w14:textId="55FB941D" w:rsidR="0003075C" w:rsidRPr="002900ED" w:rsidRDefault="0003075C"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Because of the small sample size and short duration, certain uncommon or long-term side effects might not be discovered during the clinical trial stage. A platform for identifying and evaluating these side effects is provided by pharmacovigilance after the medication is marketed and a wider population is exposed to it.</w:t>
      </w:r>
    </w:p>
    <w:p w14:paraId="49E42DEF" w14:textId="77777777" w:rsidR="0003075C" w:rsidRPr="002900ED" w:rsidRDefault="0003075C" w:rsidP="008B7A51">
      <w:pPr>
        <w:spacing w:after="0" w:line="240" w:lineRule="auto"/>
        <w:jc w:val="both"/>
        <w:rPr>
          <w:rFonts w:ascii="Times New Roman" w:eastAsia="Times New Roman" w:hAnsi="Times New Roman" w:cs="Times New Roman"/>
          <w:b/>
          <w:bCs/>
          <w:noProof w:val="0"/>
          <w:kern w:val="0"/>
          <w:sz w:val="24"/>
          <w:szCs w:val="24"/>
          <w:lang w:eastAsia="en-IN" w:bidi="te-IN"/>
          <w14:ligatures w14:val="none"/>
        </w:rPr>
      </w:pPr>
    </w:p>
    <w:p w14:paraId="405C6ED8" w14:textId="77777777" w:rsidR="0003075C" w:rsidRPr="002900ED" w:rsidRDefault="0003075C" w:rsidP="0003075C">
      <w:pPr>
        <w:spacing w:after="0" w:line="240" w:lineRule="auto"/>
        <w:jc w:val="both"/>
        <w:rPr>
          <w:rFonts w:ascii="Times New Roman" w:eastAsia="Times New Roman" w:hAnsi="Times New Roman" w:cs="Times New Roman"/>
          <w:b/>
          <w:bCs/>
          <w:noProof w:val="0"/>
          <w:kern w:val="0"/>
          <w:sz w:val="24"/>
          <w:szCs w:val="24"/>
          <w:lang w:eastAsia="en-IN" w:bidi="te-IN"/>
          <w14:ligatures w14:val="none"/>
        </w:rPr>
      </w:pPr>
    </w:p>
    <w:p w14:paraId="26AB4493" w14:textId="3AF8E447" w:rsidR="0003075C" w:rsidRPr="002900ED" w:rsidRDefault="00EB10E9" w:rsidP="008B7A51">
      <w:pPr>
        <w:spacing w:after="0" w:line="240" w:lineRule="auto"/>
        <w:jc w:val="both"/>
        <w:rPr>
          <w:rFonts w:ascii="Times New Roman" w:eastAsia="Times New Roman" w:hAnsi="Times New Roman" w:cs="Times New Roman"/>
          <w:b/>
          <w:bCs/>
          <w:noProof w:val="0"/>
          <w:kern w:val="0"/>
          <w:sz w:val="24"/>
          <w:szCs w:val="24"/>
          <w:lang w:eastAsia="en-IN" w:bidi="te-IN"/>
          <w14:ligatures w14:val="none"/>
        </w:rPr>
      </w:pPr>
      <w:r w:rsidRPr="002900ED">
        <w:rPr>
          <w:rFonts w:ascii="Times New Roman" w:eastAsia="Times New Roman" w:hAnsi="Times New Roman" w:cs="Times New Roman"/>
          <w:b/>
          <w:bCs/>
          <w:noProof w:val="0"/>
          <w:kern w:val="0"/>
          <w:sz w:val="24"/>
          <w:szCs w:val="24"/>
          <w:lang w:eastAsia="en-IN" w:bidi="te-IN"/>
          <w14:ligatures w14:val="none"/>
        </w:rPr>
        <w:t>REGULATORY COMPLIANCE AND MARKET AUTHORIZATION</w:t>
      </w:r>
    </w:p>
    <w:p w14:paraId="461EAC2D" w14:textId="77777777" w:rsidR="008B64D0" w:rsidRDefault="008B64D0"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p>
    <w:p w14:paraId="0A49A162" w14:textId="2A381F8A" w:rsidR="0003075C" w:rsidRPr="002900ED" w:rsidRDefault="0003075C"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Before a medication is authorized for commercialization, pharmaceutical companies have to abide by stringent regulatory criteria.</w:t>
      </w:r>
    </w:p>
    <w:p w14:paraId="7F96C912" w14:textId="77777777" w:rsidR="0003075C" w:rsidRPr="002900ED" w:rsidRDefault="0003075C" w:rsidP="008B7A51">
      <w:pPr>
        <w:spacing w:after="0" w:line="240" w:lineRule="auto"/>
        <w:jc w:val="both"/>
        <w:rPr>
          <w:rFonts w:ascii="Times New Roman" w:eastAsia="Times New Roman" w:hAnsi="Times New Roman" w:cs="Times New Roman"/>
          <w:b/>
          <w:bCs/>
          <w:noProof w:val="0"/>
          <w:kern w:val="0"/>
          <w:sz w:val="24"/>
          <w:szCs w:val="24"/>
          <w:lang w:eastAsia="en-IN" w:bidi="te-IN"/>
          <w14:ligatures w14:val="none"/>
        </w:rPr>
      </w:pPr>
    </w:p>
    <w:p w14:paraId="4AF846B9" w14:textId="198A3F0F" w:rsidR="00C30A64" w:rsidRPr="002900ED" w:rsidRDefault="00EB10E9"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BUILDING PUBLIC TRUST AND CONFIDENCE</w:t>
      </w:r>
    </w:p>
    <w:p w14:paraId="0CFE0498" w14:textId="77777777" w:rsidR="0003075C" w:rsidRPr="002900ED" w:rsidRDefault="0003075C"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In the pharmaceutical industry, accountability and openness are promoted by an efficient pharmacovigilance system. Patients and healthcare professionals gain confidence in the healthcare systems and industry when they observe timely actions done to resolve safety concerns.[13]</w:t>
      </w:r>
    </w:p>
    <w:p w14:paraId="3982B017" w14:textId="77777777" w:rsidR="0003075C" w:rsidRPr="002900ED" w:rsidRDefault="0003075C" w:rsidP="0003075C">
      <w:pPr>
        <w:jc w:val="both"/>
        <w:rPr>
          <w:rFonts w:ascii="Times New Roman" w:hAnsi="Times New Roman" w:cs="Times New Roman"/>
          <w:b/>
          <w:bCs/>
          <w:sz w:val="24"/>
          <w:szCs w:val="24"/>
        </w:rPr>
      </w:pPr>
    </w:p>
    <w:p w14:paraId="14F2EF11" w14:textId="05A6499F" w:rsidR="0003075C" w:rsidRPr="002900ED" w:rsidRDefault="00C527FD"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WHAT IS PHARMACOVIGILANCE</w:t>
      </w:r>
    </w:p>
    <w:p w14:paraId="6851AA6E" w14:textId="2C33B676" w:rsidR="0003075C" w:rsidRPr="002900ED" w:rsidRDefault="0003075C"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Drug effects should be monitored before and after successful testing and market launch. Pharmacovigilance is the process of reviewing information provided by </w:t>
      </w:r>
      <w:r w:rsidR="003D6CE6">
        <w:rPr>
          <w:rFonts w:ascii="Times New Roman" w:eastAsia="Times New Roman" w:hAnsi="Times New Roman" w:cs="Times New Roman"/>
          <w:noProof w:val="0"/>
          <w:kern w:val="0"/>
          <w:sz w:val="24"/>
          <w:szCs w:val="24"/>
          <w:lang w:eastAsia="en-IN" w:bidi="te-IN"/>
          <w14:ligatures w14:val="none"/>
        </w:rPr>
        <w:t>healthcare</w:t>
      </w:r>
      <w:r w:rsidRPr="002900ED">
        <w:rPr>
          <w:rFonts w:ascii="Times New Roman" w:eastAsia="Times New Roman" w:hAnsi="Times New Roman" w:cs="Times New Roman"/>
          <w:noProof w:val="0"/>
          <w:kern w:val="0"/>
          <w:sz w:val="24"/>
          <w:szCs w:val="24"/>
          <w:lang w:eastAsia="en-IN" w:bidi="te-IN"/>
          <w14:ligatures w14:val="none"/>
        </w:rPr>
        <w:t xml:space="preserve"> practitioners, pharmaceutical companies, and patients </w:t>
      </w:r>
      <w:r w:rsidR="003D6CE6">
        <w:rPr>
          <w:rFonts w:ascii="Times New Roman" w:eastAsia="Times New Roman" w:hAnsi="Times New Roman" w:cs="Times New Roman"/>
          <w:noProof w:val="0"/>
          <w:kern w:val="0"/>
          <w:sz w:val="24"/>
          <w:szCs w:val="24"/>
          <w:lang w:eastAsia="en-IN" w:bidi="te-IN"/>
          <w14:ligatures w14:val="none"/>
        </w:rPr>
        <w:t>to</w:t>
      </w:r>
      <w:r w:rsidRPr="002900ED">
        <w:rPr>
          <w:rFonts w:ascii="Times New Roman" w:eastAsia="Times New Roman" w:hAnsi="Times New Roman" w:cs="Times New Roman"/>
          <w:noProof w:val="0"/>
          <w:kern w:val="0"/>
          <w:sz w:val="24"/>
          <w:szCs w:val="24"/>
          <w:lang w:eastAsia="en-IN" w:bidi="te-IN"/>
          <w14:ligatures w14:val="none"/>
        </w:rPr>
        <w:t xml:space="preserve"> better understand the risks and benefits of a specific drug. Pharmaceutical corporations spend millions of dollars and take a long time to create new treatments. [14] Pharmacovigilance, often known as drug safety, is a comprehensive phrase that refers to the gathering, analysis, monitoring, and prevention of adverse effects in medications and therapies. It is a completely scientific and process-driven area of pharmaceuticals.[15]</w:t>
      </w:r>
    </w:p>
    <w:p w14:paraId="30540489" w14:textId="77777777" w:rsidR="00CB13D3" w:rsidRPr="002900ED" w:rsidRDefault="00CB13D3" w:rsidP="0003075C">
      <w:pPr>
        <w:spacing w:after="0" w:line="240" w:lineRule="auto"/>
        <w:jc w:val="both"/>
        <w:rPr>
          <w:rFonts w:ascii="Times New Roman" w:eastAsia="Times New Roman" w:hAnsi="Times New Roman" w:cs="Times New Roman"/>
          <w:noProof w:val="0"/>
          <w:kern w:val="0"/>
          <w:sz w:val="24"/>
          <w:szCs w:val="24"/>
          <w:lang w:eastAsia="en-IN" w:bidi="te-IN"/>
          <w14:ligatures w14:val="none"/>
        </w:rPr>
      </w:pPr>
    </w:p>
    <w:tbl>
      <w:tblPr>
        <w:tblStyle w:val="TableGrid"/>
        <w:tblW w:w="0" w:type="auto"/>
        <w:tblLook w:val="04A0" w:firstRow="1" w:lastRow="0" w:firstColumn="1" w:lastColumn="0" w:noHBand="0" w:noVBand="1"/>
      </w:tblPr>
      <w:tblGrid>
        <w:gridCol w:w="2739"/>
        <w:gridCol w:w="5212"/>
        <w:gridCol w:w="1065"/>
      </w:tblGrid>
      <w:tr w:rsidR="00BB2C92" w:rsidRPr="002900ED" w14:paraId="0E0B45F4" w14:textId="77777777" w:rsidTr="00B62BED">
        <w:tc>
          <w:tcPr>
            <w:tcW w:w="2802" w:type="dxa"/>
          </w:tcPr>
          <w:p w14:paraId="182D4D2E" w14:textId="71F9DC1A" w:rsidR="00BB2C92" w:rsidRPr="002900ED" w:rsidRDefault="00BB2C92" w:rsidP="0003075C">
            <w:pPr>
              <w:jc w:val="both"/>
              <w:rPr>
                <w:rFonts w:ascii="Times New Roman" w:hAnsi="Times New Roman" w:cs="Times New Roman"/>
                <w:b/>
                <w:bCs/>
                <w:sz w:val="24"/>
                <w:szCs w:val="24"/>
              </w:rPr>
            </w:pPr>
            <w:r w:rsidRPr="002900ED">
              <w:rPr>
                <w:rFonts w:ascii="Times New Roman" w:hAnsi="Times New Roman" w:cs="Times New Roman"/>
                <w:b/>
                <w:bCs/>
                <w:sz w:val="24"/>
                <w:szCs w:val="24"/>
              </w:rPr>
              <w:lastRenderedPageBreak/>
              <w:t>Term</w:t>
            </w:r>
          </w:p>
        </w:tc>
        <w:tc>
          <w:tcPr>
            <w:tcW w:w="5375" w:type="dxa"/>
          </w:tcPr>
          <w:p w14:paraId="1CF6AAF7" w14:textId="3D3F3DA7" w:rsidR="00BB2C92" w:rsidRPr="002900ED" w:rsidRDefault="00BB2C92" w:rsidP="0003075C">
            <w:pPr>
              <w:jc w:val="both"/>
              <w:rPr>
                <w:rFonts w:ascii="Times New Roman" w:hAnsi="Times New Roman" w:cs="Times New Roman"/>
                <w:b/>
                <w:bCs/>
                <w:sz w:val="24"/>
                <w:szCs w:val="24"/>
              </w:rPr>
            </w:pPr>
            <w:r w:rsidRPr="002900ED">
              <w:rPr>
                <w:rFonts w:ascii="Times New Roman" w:hAnsi="Times New Roman" w:cs="Times New Roman"/>
                <w:b/>
                <w:bCs/>
                <w:sz w:val="24"/>
                <w:szCs w:val="24"/>
              </w:rPr>
              <w:t>Definition</w:t>
            </w:r>
          </w:p>
        </w:tc>
        <w:tc>
          <w:tcPr>
            <w:tcW w:w="1065" w:type="dxa"/>
          </w:tcPr>
          <w:p w14:paraId="3E09839F" w14:textId="689B8EC3" w:rsidR="00BB2C92" w:rsidRPr="002900ED" w:rsidRDefault="00BB2C92" w:rsidP="0003075C">
            <w:pPr>
              <w:jc w:val="both"/>
              <w:rPr>
                <w:rFonts w:ascii="Times New Roman" w:hAnsi="Times New Roman" w:cs="Times New Roman"/>
                <w:b/>
                <w:bCs/>
                <w:sz w:val="24"/>
                <w:szCs w:val="24"/>
              </w:rPr>
            </w:pPr>
            <w:r w:rsidRPr="002900ED">
              <w:rPr>
                <w:rFonts w:ascii="Times New Roman" w:hAnsi="Times New Roman" w:cs="Times New Roman"/>
                <w:b/>
                <w:bCs/>
                <w:sz w:val="24"/>
                <w:szCs w:val="24"/>
              </w:rPr>
              <w:t>refernce</w:t>
            </w:r>
          </w:p>
        </w:tc>
      </w:tr>
      <w:tr w:rsidR="00BB2C92" w:rsidRPr="002900ED" w14:paraId="67B06B10" w14:textId="77777777" w:rsidTr="00B62BED">
        <w:tc>
          <w:tcPr>
            <w:tcW w:w="2802" w:type="dxa"/>
          </w:tcPr>
          <w:p w14:paraId="6187574A" w14:textId="62B18E46" w:rsidR="00BB2C92" w:rsidRPr="002900ED" w:rsidRDefault="00BB2C92" w:rsidP="0003075C">
            <w:pPr>
              <w:jc w:val="both"/>
              <w:rPr>
                <w:rFonts w:ascii="Times New Roman" w:hAnsi="Times New Roman" w:cs="Times New Roman"/>
                <w:sz w:val="24"/>
                <w:szCs w:val="24"/>
              </w:rPr>
            </w:pPr>
            <w:r w:rsidRPr="002900ED">
              <w:rPr>
                <w:rFonts w:ascii="Times New Roman" w:hAnsi="Times New Roman" w:cs="Times New Roman"/>
                <w:sz w:val="24"/>
                <w:szCs w:val="24"/>
              </w:rPr>
              <w:t>Clinical trial</w:t>
            </w:r>
          </w:p>
        </w:tc>
        <w:tc>
          <w:tcPr>
            <w:tcW w:w="5375" w:type="dxa"/>
          </w:tcPr>
          <w:p w14:paraId="202C8DD2" w14:textId="337BDD05" w:rsidR="00BB2C92" w:rsidRPr="002900ED" w:rsidRDefault="00CC45ED" w:rsidP="0003075C">
            <w:pPr>
              <w:jc w:val="both"/>
              <w:rPr>
                <w:rFonts w:ascii="Times New Roman" w:hAnsi="Times New Roman" w:cs="Times New Roman"/>
                <w:sz w:val="24"/>
                <w:szCs w:val="24"/>
              </w:rPr>
            </w:pPr>
            <w:r w:rsidRPr="002900ED">
              <w:rPr>
                <w:rFonts w:ascii="Times New Roman" w:hAnsi="Times New Roman" w:cs="Times New Roman"/>
                <w:sz w:val="24"/>
                <w:szCs w:val="24"/>
              </w:rPr>
              <w:t>A clinical trial is an analysis research that evaluates an alternative medical treatment or a replacement method of administering an existing treatment to determine whether it will be more effective in stopping and screening for illness or treating it.</w:t>
            </w:r>
          </w:p>
        </w:tc>
        <w:tc>
          <w:tcPr>
            <w:tcW w:w="1065" w:type="dxa"/>
          </w:tcPr>
          <w:p w14:paraId="68498641" w14:textId="6D6699E9" w:rsidR="00BB2C92" w:rsidRPr="002900ED" w:rsidRDefault="00B62BED" w:rsidP="0003075C">
            <w:pPr>
              <w:jc w:val="both"/>
              <w:rPr>
                <w:rFonts w:ascii="Times New Roman" w:hAnsi="Times New Roman" w:cs="Times New Roman"/>
                <w:sz w:val="24"/>
                <w:szCs w:val="24"/>
              </w:rPr>
            </w:pPr>
            <w:r w:rsidRPr="002900ED">
              <w:rPr>
                <w:rFonts w:ascii="Times New Roman" w:hAnsi="Times New Roman" w:cs="Times New Roman"/>
                <w:sz w:val="24"/>
                <w:szCs w:val="24"/>
              </w:rPr>
              <w:t>16</w:t>
            </w:r>
          </w:p>
        </w:tc>
      </w:tr>
      <w:tr w:rsidR="00BB2C92" w:rsidRPr="002900ED" w14:paraId="7B17E181" w14:textId="77777777" w:rsidTr="00B62BED">
        <w:tc>
          <w:tcPr>
            <w:tcW w:w="2802" w:type="dxa"/>
          </w:tcPr>
          <w:p w14:paraId="760843E3" w14:textId="14264CDD" w:rsidR="00BB2C92" w:rsidRPr="002900ED" w:rsidRDefault="00BB2C92" w:rsidP="0003075C">
            <w:pPr>
              <w:jc w:val="both"/>
              <w:rPr>
                <w:rFonts w:ascii="Times New Roman" w:hAnsi="Times New Roman" w:cs="Times New Roman"/>
                <w:sz w:val="24"/>
                <w:szCs w:val="24"/>
              </w:rPr>
            </w:pPr>
            <w:r w:rsidRPr="002900ED">
              <w:rPr>
                <w:rFonts w:ascii="Times New Roman" w:hAnsi="Times New Roman" w:cs="Times New Roman"/>
                <w:sz w:val="24"/>
                <w:szCs w:val="24"/>
              </w:rPr>
              <w:t>Adverse event</w:t>
            </w:r>
          </w:p>
        </w:tc>
        <w:tc>
          <w:tcPr>
            <w:tcW w:w="5375" w:type="dxa"/>
          </w:tcPr>
          <w:p w14:paraId="36215E11" w14:textId="0BB31C0D" w:rsidR="00BB2C92" w:rsidRPr="002900ED" w:rsidRDefault="00CC45ED" w:rsidP="0003075C">
            <w:pPr>
              <w:jc w:val="both"/>
              <w:rPr>
                <w:rFonts w:ascii="Times New Roman" w:hAnsi="Times New Roman" w:cs="Times New Roman"/>
                <w:b/>
                <w:bCs/>
                <w:sz w:val="24"/>
                <w:szCs w:val="24"/>
              </w:rPr>
            </w:pPr>
            <w:r w:rsidRPr="002900ED">
              <w:rPr>
                <w:rFonts w:ascii="Times New Roman" w:hAnsi="Times New Roman" w:cs="Times New Roman"/>
                <w:sz w:val="24"/>
                <w:szCs w:val="24"/>
              </w:rPr>
              <w:t>Any unfavorable medical event that may arise during drug therapy but is not always linked to the drug's use is referred to as an adverse event</w:t>
            </w:r>
            <w:r w:rsidRPr="002900ED">
              <w:rPr>
                <w:rFonts w:ascii="Times New Roman" w:hAnsi="Times New Roman" w:cs="Times New Roman"/>
                <w:b/>
                <w:bCs/>
                <w:sz w:val="24"/>
                <w:szCs w:val="24"/>
              </w:rPr>
              <w:t>.</w:t>
            </w:r>
          </w:p>
        </w:tc>
        <w:tc>
          <w:tcPr>
            <w:tcW w:w="1065" w:type="dxa"/>
          </w:tcPr>
          <w:p w14:paraId="39227CBB" w14:textId="142B7AAE" w:rsidR="00BB2C92" w:rsidRPr="002900ED" w:rsidRDefault="00B62BED" w:rsidP="0003075C">
            <w:pPr>
              <w:jc w:val="both"/>
              <w:rPr>
                <w:rFonts w:ascii="Times New Roman" w:hAnsi="Times New Roman" w:cs="Times New Roman"/>
                <w:b/>
                <w:bCs/>
                <w:sz w:val="24"/>
                <w:szCs w:val="24"/>
              </w:rPr>
            </w:pPr>
            <w:r w:rsidRPr="002900ED">
              <w:rPr>
                <w:rFonts w:ascii="Times New Roman" w:hAnsi="Times New Roman" w:cs="Times New Roman"/>
                <w:b/>
                <w:bCs/>
                <w:sz w:val="24"/>
                <w:szCs w:val="24"/>
              </w:rPr>
              <w:t>7</w:t>
            </w:r>
          </w:p>
        </w:tc>
      </w:tr>
      <w:tr w:rsidR="00BB2C92" w:rsidRPr="002900ED" w14:paraId="0CAB9DB0" w14:textId="77777777" w:rsidTr="00B62BED">
        <w:tc>
          <w:tcPr>
            <w:tcW w:w="2802" w:type="dxa"/>
          </w:tcPr>
          <w:p w14:paraId="5E330E51" w14:textId="35251B87" w:rsidR="00BB2C92" w:rsidRPr="002900ED" w:rsidRDefault="00BB2C92" w:rsidP="0003075C">
            <w:pPr>
              <w:jc w:val="both"/>
              <w:rPr>
                <w:rFonts w:ascii="Times New Roman" w:hAnsi="Times New Roman" w:cs="Times New Roman"/>
                <w:sz w:val="24"/>
                <w:szCs w:val="24"/>
              </w:rPr>
            </w:pPr>
            <w:r w:rsidRPr="002900ED">
              <w:rPr>
                <w:rFonts w:ascii="Times New Roman" w:hAnsi="Times New Roman" w:cs="Times New Roman"/>
                <w:sz w:val="24"/>
                <w:szCs w:val="24"/>
              </w:rPr>
              <w:t>Post market surveillance</w:t>
            </w:r>
          </w:p>
        </w:tc>
        <w:tc>
          <w:tcPr>
            <w:tcW w:w="5375" w:type="dxa"/>
          </w:tcPr>
          <w:p w14:paraId="67B92E63" w14:textId="049D42A7" w:rsidR="00BB2C92" w:rsidRPr="002900ED" w:rsidRDefault="00CC45ED" w:rsidP="0003075C">
            <w:pPr>
              <w:jc w:val="both"/>
              <w:rPr>
                <w:rFonts w:ascii="Times New Roman" w:hAnsi="Times New Roman" w:cs="Times New Roman"/>
                <w:sz w:val="24"/>
                <w:szCs w:val="24"/>
              </w:rPr>
            </w:pPr>
            <w:r w:rsidRPr="002900ED">
              <w:rPr>
                <w:rFonts w:ascii="Times New Roman" w:hAnsi="Times New Roman" w:cs="Times New Roman"/>
                <w:sz w:val="24"/>
                <w:szCs w:val="24"/>
              </w:rPr>
              <w:t>PMS, or post-marketing surveillance, is the process of keeping an eye on a pharmaceutical product's safety after it has been made available to the public.</w:t>
            </w:r>
          </w:p>
        </w:tc>
        <w:tc>
          <w:tcPr>
            <w:tcW w:w="1065" w:type="dxa"/>
          </w:tcPr>
          <w:p w14:paraId="087342AB" w14:textId="77777777" w:rsidR="00BB2C92" w:rsidRPr="002900ED" w:rsidRDefault="00BB2C92" w:rsidP="0003075C">
            <w:pPr>
              <w:jc w:val="both"/>
              <w:rPr>
                <w:rFonts w:ascii="Times New Roman" w:hAnsi="Times New Roman" w:cs="Times New Roman"/>
                <w:sz w:val="24"/>
                <w:szCs w:val="24"/>
              </w:rPr>
            </w:pPr>
          </w:p>
          <w:p w14:paraId="2232E5E4" w14:textId="77777777" w:rsidR="00CC45ED" w:rsidRPr="002900ED" w:rsidRDefault="00CC45ED" w:rsidP="0003075C">
            <w:pPr>
              <w:jc w:val="both"/>
              <w:rPr>
                <w:rFonts w:ascii="Times New Roman" w:hAnsi="Times New Roman" w:cs="Times New Roman"/>
                <w:sz w:val="24"/>
                <w:szCs w:val="24"/>
              </w:rPr>
            </w:pPr>
          </w:p>
          <w:p w14:paraId="3C52C462" w14:textId="630E2293" w:rsidR="00CC45ED" w:rsidRPr="002900ED" w:rsidRDefault="00B62BED" w:rsidP="0003075C">
            <w:pPr>
              <w:jc w:val="both"/>
              <w:rPr>
                <w:rFonts w:ascii="Times New Roman" w:hAnsi="Times New Roman" w:cs="Times New Roman"/>
                <w:sz w:val="24"/>
                <w:szCs w:val="24"/>
              </w:rPr>
            </w:pPr>
            <w:r w:rsidRPr="002900ED">
              <w:rPr>
                <w:rFonts w:ascii="Times New Roman" w:hAnsi="Times New Roman" w:cs="Times New Roman"/>
                <w:sz w:val="24"/>
                <w:szCs w:val="24"/>
              </w:rPr>
              <w:t>7</w:t>
            </w:r>
          </w:p>
          <w:p w14:paraId="3BD4445D" w14:textId="77777777" w:rsidR="00CC45ED" w:rsidRPr="002900ED" w:rsidRDefault="00CC45ED" w:rsidP="0003075C">
            <w:pPr>
              <w:jc w:val="both"/>
              <w:rPr>
                <w:rFonts w:ascii="Times New Roman" w:hAnsi="Times New Roman" w:cs="Times New Roman"/>
                <w:sz w:val="24"/>
                <w:szCs w:val="24"/>
              </w:rPr>
            </w:pPr>
          </w:p>
          <w:p w14:paraId="66EC7097" w14:textId="77777777" w:rsidR="00CC45ED" w:rsidRPr="002900ED" w:rsidRDefault="00CC45ED" w:rsidP="0003075C">
            <w:pPr>
              <w:jc w:val="both"/>
              <w:rPr>
                <w:rFonts w:ascii="Times New Roman" w:hAnsi="Times New Roman" w:cs="Times New Roman"/>
                <w:sz w:val="24"/>
                <w:szCs w:val="24"/>
              </w:rPr>
            </w:pPr>
          </w:p>
          <w:p w14:paraId="46357A8F" w14:textId="77777777" w:rsidR="00CC45ED" w:rsidRPr="002900ED" w:rsidRDefault="00CC45ED" w:rsidP="0003075C">
            <w:pPr>
              <w:jc w:val="both"/>
              <w:rPr>
                <w:rFonts w:ascii="Times New Roman" w:hAnsi="Times New Roman" w:cs="Times New Roman"/>
                <w:sz w:val="24"/>
                <w:szCs w:val="24"/>
              </w:rPr>
            </w:pPr>
          </w:p>
        </w:tc>
      </w:tr>
      <w:tr w:rsidR="00B62BED" w:rsidRPr="002900ED" w14:paraId="026EE624" w14:textId="77777777" w:rsidTr="00B62BED">
        <w:tc>
          <w:tcPr>
            <w:tcW w:w="2802" w:type="dxa"/>
          </w:tcPr>
          <w:p w14:paraId="63320413" w14:textId="2642D261" w:rsidR="00B62BED" w:rsidRPr="002900ED" w:rsidRDefault="00B62BED" w:rsidP="0003075C">
            <w:pPr>
              <w:jc w:val="both"/>
              <w:rPr>
                <w:rFonts w:ascii="Times New Roman" w:hAnsi="Times New Roman" w:cs="Times New Roman"/>
                <w:sz w:val="24"/>
                <w:szCs w:val="24"/>
              </w:rPr>
            </w:pPr>
            <w:r w:rsidRPr="002900ED">
              <w:rPr>
                <w:rFonts w:ascii="Times New Roman" w:hAnsi="Times New Roman" w:cs="Times New Roman"/>
                <w:sz w:val="24"/>
                <w:szCs w:val="24"/>
              </w:rPr>
              <w:t>Adverse drug reaction</w:t>
            </w:r>
          </w:p>
        </w:tc>
        <w:tc>
          <w:tcPr>
            <w:tcW w:w="5375" w:type="dxa"/>
          </w:tcPr>
          <w:p w14:paraId="038BD1CD" w14:textId="77777777" w:rsidR="00B62BED" w:rsidRPr="002900ED" w:rsidRDefault="00B62BED" w:rsidP="00B62BED">
            <w:pPr>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Any unpleasant, unexpected, and undesirable side effect of a medication that happens at a dose utilized in humans for prevention, diagnosis, therapy, or alteration of physiological function is known as an adverse drug reaction (ADR).</w:t>
            </w:r>
          </w:p>
          <w:p w14:paraId="10D338A7" w14:textId="77777777" w:rsidR="00B62BED" w:rsidRPr="002900ED" w:rsidRDefault="00B62BED" w:rsidP="0003075C">
            <w:pPr>
              <w:jc w:val="both"/>
              <w:rPr>
                <w:rFonts w:ascii="Times New Roman" w:hAnsi="Times New Roman" w:cs="Times New Roman"/>
                <w:sz w:val="24"/>
                <w:szCs w:val="24"/>
              </w:rPr>
            </w:pPr>
          </w:p>
        </w:tc>
        <w:tc>
          <w:tcPr>
            <w:tcW w:w="1065" w:type="dxa"/>
          </w:tcPr>
          <w:p w14:paraId="12312541" w14:textId="3051588A" w:rsidR="00B62BED" w:rsidRPr="002900ED" w:rsidRDefault="00B62BED" w:rsidP="0003075C">
            <w:pPr>
              <w:jc w:val="both"/>
              <w:rPr>
                <w:rFonts w:ascii="Times New Roman" w:hAnsi="Times New Roman" w:cs="Times New Roman"/>
                <w:sz w:val="24"/>
                <w:szCs w:val="24"/>
              </w:rPr>
            </w:pPr>
            <w:r w:rsidRPr="002900ED">
              <w:rPr>
                <w:rFonts w:ascii="Times New Roman" w:hAnsi="Times New Roman" w:cs="Times New Roman"/>
                <w:sz w:val="24"/>
                <w:szCs w:val="24"/>
              </w:rPr>
              <w:t>7</w:t>
            </w:r>
          </w:p>
        </w:tc>
      </w:tr>
    </w:tbl>
    <w:p w14:paraId="4F019CCD" w14:textId="77777777" w:rsidR="0003075C" w:rsidRPr="002900ED" w:rsidRDefault="0003075C" w:rsidP="0003075C">
      <w:pPr>
        <w:jc w:val="both"/>
        <w:rPr>
          <w:rFonts w:ascii="Times New Roman" w:hAnsi="Times New Roman" w:cs="Times New Roman"/>
          <w:sz w:val="24"/>
          <w:szCs w:val="24"/>
        </w:rPr>
      </w:pPr>
    </w:p>
    <w:p w14:paraId="4F63C5AC" w14:textId="1B82B9CB" w:rsidR="00CB13D3" w:rsidRPr="002900ED" w:rsidRDefault="00CB13D3"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HISTORICAL BACKGROUND OF PHARMACOVIGILANCE</w:t>
      </w:r>
    </w:p>
    <w:p w14:paraId="5DF08475" w14:textId="77777777" w:rsidR="00CB13D3" w:rsidRPr="002900ED" w:rsidRDefault="00CB13D3"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The safety of drugs was not a major concern in their early history. The thalidomide tragedy of the 1960s prompted drug regulators and other concerned healthcare experts to devise a solution to ensure medication safety. In 1893, The Lancet journal published the first report of a chloroform-related death. Drug safety became a global concern, and different countries launched various programs to protect public health.[17]</w:t>
      </w:r>
    </w:p>
    <w:p w14:paraId="184CD485" w14:textId="77777777" w:rsidR="00A165A7" w:rsidRPr="002900ED" w:rsidRDefault="00A165A7"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p>
    <w:p w14:paraId="47438899" w14:textId="7BC64355" w:rsidR="00A165A7" w:rsidRPr="00007744" w:rsidRDefault="00A165A7" w:rsidP="008B7A51">
      <w:pPr>
        <w:spacing w:after="0" w:line="240" w:lineRule="auto"/>
        <w:jc w:val="both"/>
        <w:rPr>
          <w:rFonts w:ascii="Times New Roman" w:eastAsia="Times New Roman" w:hAnsi="Times New Roman" w:cs="Times New Roman"/>
          <w:b/>
          <w:bCs/>
          <w:noProof w:val="0"/>
          <w:kern w:val="0"/>
          <w:sz w:val="24"/>
          <w:szCs w:val="24"/>
          <w:lang w:eastAsia="en-IN" w:bidi="te-IN"/>
          <w14:ligatures w14:val="none"/>
        </w:rPr>
      </w:pPr>
      <w:r w:rsidRPr="00007744">
        <w:rPr>
          <w:rFonts w:ascii="Times New Roman" w:eastAsia="Times New Roman" w:hAnsi="Times New Roman" w:cs="Times New Roman"/>
          <w:b/>
          <w:bCs/>
          <w:noProof w:val="0"/>
          <w:kern w:val="0"/>
          <w:sz w:val="24"/>
          <w:szCs w:val="24"/>
          <w:lang w:eastAsia="en-IN" w:bidi="te-IN"/>
          <w14:ligatures w14:val="none"/>
        </w:rPr>
        <w:t>METHODS OF PHARMACOVIGILANCE</w:t>
      </w:r>
    </w:p>
    <w:p w14:paraId="5A36BC68" w14:textId="77777777" w:rsidR="002900ED" w:rsidRDefault="00A165A7"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According to </w:t>
      </w:r>
      <w:r w:rsidR="002900ED">
        <w:rPr>
          <w:rFonts w:ascii="Times New Roman" w:eastAsia="Times New Roman" w:hAnsi="Times New Roman" w:cs="Times New Roman"/>
          <w:noProof w:val="0"/>
          <w:kern w:val="0"/>
          <w:sz w:val="24"/>
          <w:szCs w:val="24"/>
          <w:lang w:eastAsia="en-IN" w:bidi="te-IN"/>
          <w14:ligatures w14:val="none"/>
        </w:rPr>
        <w:t xml:space="preserve">the </w:t>
      </w:r>
      <w:r w:rsidRPr="002900ED">
        <w:rPr>
          <w:rFonts w:ascii="Times New Roman" w:eastAsia="Times New Roman" w:hAnsi="Times New Roman" w:cs="Times New Roman"/>
          <w:noProof w:val="0"/>
          <w:kern w:val="0"/>
          <w:sz w:val="24"/>
          <w:szCs w:val="24"/>
          <w:lang w:eastAsia="en-IN" w:bidi="te-IN"/>
          <w14:ligatures w14:val="none"/>
        </w:rPr>
        <w:t xml:space="preserve">International Conference on Harmonization Efficacy </w:t>
      </w:r>
      <w:r w:rsidR="002900ED">
        <w:rPr>
          <w:rFonts w:ascii="Times New Roman" w:eastAsia="Times New Roman" w:hAnsi="Times New Roman" w:cs="Times New Roman"/>
          <w:noProof w:val="0"/>
          <w:kern w:val="0"/>
          <w:sz w:val="24"/>
          <w:szCs w:val="24"/>
          <w:lang w:eastAsia="en-IN" w:bidi="te-IN"/>
          <w14:ligatures w14:val="none"/>
        </w:rPr>
        <w:t>Recommendations</w:t>
      </w:r>
      <w:r w:rsidRPr="002900ED">
        <w:rPr>
          <w:rFonts w:ascii="Times New Roman" w:eastAsia="Times New Roman" w:hAnsi="Times New Roman" w:cs="Times New Roman"/>
          <w:noProof w:val="0"/>
          <w:kern w:val="0"/>
          <w:sz w:val="24"/>
          <w:szCs w:val="24"/>
          <w:lang w:eastAsia="en-IN" w:bidi="te-IN"/>
          <w14:ligatures w14:val="none"/>
        </w:rPr>
        <w:t xml:space="preserve"> 2 (ICHE2E) recommendations, pharmacovigilance approaches can be classified as</w:t>
      </w:r>
    </w:p>
    <w:p w14:paraId="063D00DE" w14:textId="77777777" w:rsidR="008756FC" w:rsidRDefault="008756FC"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p>
    <w:p w14:paraId="36108D73" w14:textId="1D16941E" w:rsidR="000B4263" w:rsidRPr="002900ED" w:rsidRDefault="000B4263"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 </w:t>
      </w:r>
      <w:r w:rsidRPr="002900ED">
        <w:rPr>
          <w:rFonts w:ascii="Times New Roman" w:eastAsia="Times New Roman" w:hAnsi="Times New Roman" w:cs="Times New Roman"/>
          <w:b/>
          <w:bCs/>
          <w:noProof w:val="0"/>
          <w:kern w:val="0"/>
          <w:sz w:val="24"/>
          <w:szCs w:val="24"/>
          <w:lang w:eastAsia="en-IN" w:bidi="te-IN"/>
          <w14:ligatures w14:val="none"/>
        </w:rPr>
        <w:t>Spontaneous reporting system</w:t>
      </w:r>
    </w:p>
    <w:p w14:paraId="12523AB1" w14:textId="6D570070" w:rsidR="00D42111" w:rsidRPr="002900ED" w:rsidRDefault="008756FC" w:rsidP="008B7A51">
      <w:pPr>
        <w:jc w:val="both"/>
        <w:rPr>
          <w:rFonts w:ascii="Times New Roman" w:eastAsia="Times New Roman" w:hAnsi="Times New Roman" w:cs="Times New Roman"/>
          <w:noProof w:val="0"/>
          <w:kern w:val="0"/>
          <w:sz w:val="24"/>
          <w:szCs w:val="24"/>
          <w:lang w:eastAsia="en-IN"/>
          <w14:ligatures w14:val="none"/>
        </w:rPr>
      </w:pPr>
      <w:r>
        <w:rPr>
          <w:rFonts w:ascii="Times New Roman" w:hAnsi="Times New Roman" w:cs="Times New Roman"/>
          <w:sz w:val="24"/>
          <w:szCs w:val="24"/>
        </w:rPr>
        <w:t xml:space="preserve"> </w:t>
      </w:r>
      <w:r w:rsidR="000B4263" w:rsidRPr="002900ED">
        <w:rPr>
          <w:rFonts w:ascii="Times New Roman" w:hAnsi="Times New Roman" w:cs="Times New Roman"/>
          <w:sz w:val="24"/>
          <w:szCs w:val="24"/>
        </w:rPr>
        <w:t xml:space="preserve">Spontaneous or voluntary reporting refers to the recording and reporting of clinical findings of a suspected ADR associated with a marketed medicine.12 There are slight variances between countries, but the principles remain the same. In the United Kingdom, the 'Yellow Card' policy encourages doctors, dentists, and, more recently, hospital pharmacists to report any suspected reactions to new drugs as well as serious suspected responses to old medicines. The safety of drugs is frequently monitored using spontaneous reporting mechanisms.13 Medical professionals, including physicians, pharmacists, and nurses, utilize </w:t>
      </w:r>
      <w:r w:rsidR="002900ED">
        <w:rPr>
          <w:rFonts w:ascii="Times New Roman" w:hAnsi="Times New Roman" w:cs="Times New Roman"/>
          <w:sz w:val="24"/>
          <w:szCs w:val="24"/>
        </w:rPr>
        <w:t>standardized</w:t>
      </w:r>
      <w:r w:rsidR="000B4263" w:rsidRPr="002900ED">
        <w:rPr>
          <w:rFonts w:ascii="Times New Roman" w:hAnsi="Times New Roman" w:cs="Times New Roman"/>
          <w:sz w:val="24"/>
          <w:szCs w:val="24"/>
        </w:rPr>
        <w:t xml:space="preserve"> forms to report potential adverse reactions to regulatory authorities, as do consumers in some countries.</w:t>
      </w:r>
      <w:r w:rsidR="00D42111" w:rsidRPr="002900ED">
        <w:rPr>
          <w:rFonts w:ascii="Times New Roman" w:hAnsi="Times New Roman" w:cs="Times New Roman"/>
          <w:sz w:val="24"/>
          <w:szCs w:val="24"/>
        </w:rPr>
        <w:t xml:space="preserve"> </w:t>
      </w:r>
      <w:r w:rsidR="00D42111" w:rsidRPr="002900ED">
        <w:rPr>
          <w:rFonts w:ascii="Times New Roman" w:eastAsia="Times New Roman" w:hAnsi="Times New Roman" w:cs="Times New Roman"/>
          <w:noProof w:val="0"/>
          <w:kern w:val="0"/>
          <w:sz w:val="24"/>
          <w:szCs w:val="24"/>
          <w:lang w:eastAsia="en-IN" w:bidi="te-IN"/>
          <w14:ligatures w14:val="none"/>
        </w:rPr>
        <w:t xml:space="preserve">Spontaneous reports are more likely to be effective when items are controlled as medicines and administered by health practitioners who are familiar with the reporting system. Consumers may be unaware of the significance of reporting unpleasant consequences.15 Spontaneous reporting of adverse drug reactions and adverse events is an important tool for gathering safety information for early detection. Case reports collected by such systems represent the source of information with the lowest level of evidence and the highest level of uncertainty about </w:t>
      </w:r>
      <w:r w:rsidR="002900ED">
        <w:rPr>
          <w:rFonts w:ascii="Times New Roman" w:eastAsia="Times New Roman" w:hAnsi="Times New Roman" w:cs="Times New Roman"/>
          <w:noProof w:val="0"/>
          <w:kern w:val="0"/>
          <w:sz w:val="24"/>
          <w:szCs w:val="24"/>
          <w:lang w:eastAsia="en-IN" w:bidi="te-IN"/>
          <w14:ligatures w14:val="none"/>
        </w:rPr>
        <w:t xml:space="preserve">the </w:t>
      </w:r>
      <w:r w:rsidR="00D42111" w:rsidRPr="002900ED">
        <w:rPr>
          <w:rFonts w:ascii="Times New Roman" w:eastAsia="Times New Roman" w:hAnsi="Times New Roman" w:cs="Times New Roman"/>
          <w:noProof w:val="0"/>
          <w:kern w:val="0"/>
          <w:sz w:val="24"/>
          <w:szCs w:val="24"/>
          <w:lang w:eastAsia="en-IN" w:bidi="te-IN"/>
          <w14:ligatures w14:val="none"/>
        </w:rPr>
        <w:lastRenderedPageBreak/>
        <w:t xml:space="preserve">casualty. </w:t>
      </w:r>
      <w:r w:rsidR="00BB0569">
        <w:rPr>
          <w:rFonts w:ascii="Times New Roman" w:eastAsia="Times New Roman" w:hAnsi="Times New Roman" w:cs="Times New Roman"/>
          <w:noProof w:val="0"/>
          <w:kern w:val="0"/>
          <w:sz w:val="24"/>
          <w:szCs w:val="24"/>
          <w:lang w:eastAsia="en-IN" w:bidi="te-IN"/>
          <w14:ligatures w14:val="none"/>
        </w:rPr>
        <w:t xml:space="preserve"> </w:t>
      </w:r>
      <w:r w:rsidR="00BB0569" w:rsidRPr="00BB0569">
        <w:rPr>
          <w:rFonts w:ascii="Times New Roman" w:eastAsia="Times New Roman" w:hAnsi="Times New Roman" w:cs="Times New Roman"/>
          <w:noProof w:val="0"/>
          <w:kern w:val="0"/>
          <w:sz w:val="24"/>
          <w:szCs w:val="24"/>
          <w:lang w:eastAsia="en-IN"/>
          <w14:ligatures w14:val="none"/>
        </w:rPr>
        <w:t xml:space="preserve">One benefit of spontaneous reporting is that it may be made available as soon as a new medication is introduced, lasts forever, and covers every patient who takes the medication. </w:t>
      </w:r>
      <w:r w:rsidR="00D42111" w:rsidRPr="002900ED">
        <w:rPr>
          <w:rFonts w:ascii="Times New Roman" w:eastAsia="Times New Roman" w:hAnsi="Times New Roman" w:cs="Times New Roman"/>
          <w:noProof w:val="0"/>
          <w:kern w:val="0"/>
          <w:sz w:val="24"/>
          <w:szCs w:val="24"/>
          <w:lang w:eastAsia="en-IN" w:bidi="te-IN"/>
          <w14:ligatures w14:val="none"/>
        </w:rPr>
        <w:t>It is the most likely means of discovering novel, uncommon ADRs and typically produces safety flags that must be investigated further.17 The main drawbacks are the difficulty in recognizing previously unreported reactions, particularly those that are not typically considered ADRs, and under-reporting, which is varied, sensitive to reporting cues, and difficult to measure. It normally does not confirm assumptions; nonetheless, there are cases where spontaneous reporting data alone allows us to conclude that a signal indicates a true ADR.</w:t>
      </w:r>
      <w:r w:rsidR="00F47ED3" w:rsidRPr="002900ED">
        <w:rPr>
          <w:rFonts w:ascii="Times New Roman" w:eastAsia="Times New Roman" w:hAnsi="Times New Roman" w:cs="Times New Roman"/>
          <w:noProof w:val="0"/>
          <w:kern w:val="0"/>
          <w:sz w:val="24"/>
          <w:szCs w:val="24"/>
          <w:lang w:eastAsia="en-IN" w:bidi="te-IN"/>
          <w14:ligatures w14:val="none"/>
        </w:rPr>
        <w:t>[7]</w:t>
      </w:r>
    </w:p>
    <w:p w14:paraId="243A338B" w14:textId="40B96DFC" w:rsidR="00D42111" w:rsidRPr="00007744" w:rsidRDefault="00007744" w:rsidP="008B7A51">
      <w:pPr>
        <w:jc w:val="both"/>
        <w:rPr>
          <w:rFonts w:ascii="Times New Roman" w:eastAsia="Times New Roman" w:hAnsi="Times New Roman" w:cs="Times New Roman"/>
          <w:b/>
          <w:bCs/>
          <w:noProof w:val="0"/>
          <w:kern w:val="0"/>
          <w:sz w:val="24"/>
          <w:szCs w:val="24"/>
          <w:lang w:eastAsia="en-IN" w:bidi="te-IN"/>
          <w14:ligatures w14:val="none"/>
        </w:rPr>
      </w:pPr>
      <w:r w:rsidRPr="00007744">
        <w:rPr>
          <w:rFonts w:ascii="Times New Roman" w:eastAsia="Times New Roman" w:hAnsi="Times New Roman" w:cs="Times New Roman"/>
          <w:b/>
          <w:bCs/>
          <w:noProof w:val="0"/>
          <w:kern w:val="0"/>
          <w:sz w:val="24"/>
          <w:szCs w:val="24"/>
          <w:lang w:eastAsia="en-IN" w:bidi="te-IN"/>
          <w14:ligatures w14:val="none"/>
        </w:rPr>
        <w:t>PRESCRIPTION EVENT MONITORING</w:t>
      </w:r>
    </w:p>
    <w:p w14:paraId="0598FAC8" w14:textId="563C8601" w:rsidR="00F47ED3" w:rsidRPr="002900ED" w:rsidRDefault="00F47ED3"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PEM is a non-interventional, observational cohort method of pharmacovigilance. PEM studies are cohort studies in which general </w:t>
      </w:r>
      <w:r w:rsidR="008B7A51" w:rsidRPr="002900ED">
        <w:rPr>
          <w:rFonts w:ascii="Times New Roman" w:eastAsia="Times New Roman" w:hAnsi="Times New Roman" w:cs="Times New Roman"/>
          <w:noProof w:val="0"/>
          <w:kern w:val="0"/>
          <w:sz w:val="24"/>
          <w:szCs w:val="24"/>
          <w:lang w:eastAsia="en-IN" w:bidi="te-IN"/>
          <w14:ligatures w14:val="none"/>
        </w:rPr>
        <w:t>practitioners’</w:t>
      </w:r>
      <w:r w:rsidRPr="002900ED">
        <w:rPr>
          <w:rFonts w:ascii="Times New Roman" w:eastAsia="Times New Roman" w:hAnsi="Times New Roman" w:cs="Times New Roman"/>
          <w:noProof w:val="0"/>
          <w:kern w:val="0"/>
          <w:sz w:val="24"/>
          <w:szCs w:val="24"/>
          <w:lang w:eastAsia="en-IN" w:bidi="te-IN"/>
          <w14:ligatures w14:val="none"/>
        </w:rPr>
        <w:t xml:space="preserve"> complete basic questions after receiving exposure from a </w:t>
      </w:r>
      <w:r w:rsidR="002900ED">
        <w:rPr>
          <w:rFonts w:ascii="Times New Roman" w:eastAsia="Times New Roman" w:hAnsi="Times New Roman" w:cs="Times New Roman"/>
          <w:noProof w:val="0"/>
          <w:kern w:val="0"/>
          <w:sz w:val="24"/>
          <w:szCs w:val="24"/>
          <w:lang w:eastAsia="en-IN" w:bidi="te-IN"/>
          <w14:ligatures w14:val="none"/>
        </w:rPr>
        <w:t>centralized</w:t>
      </w:r>
      <w:r w:rsidRPr="002900ED">
        <w:rPr>
          <w:rFonts w:ascii="Times New Roman" w:eastAsia="Times New Roman" w:hAnsi="Times New Roman" w:cs="Times New Roman"/>
          <w:noProof w:val="0"/>
          <w:kern w:val="0"/>
          <w:sz w:val="24"/>
          <w:szCs w:val="24"/>
          <w:lang w:eastAsia="en-IN" w:bidi="te-IN"/>
          <w14:ligatures w14:val="none"/>
        </w:rPr>
        <w:t xml:space="preserve"> provider. Nineteen follow-up forms are sent for certain occurrences. Because PEM includes all events, not only suspected ADRs, PEM cohorts may differ in terms of the distribution of events per person depending on the nature of the medicine being studied. This variation can be attributed to either the disease for which the medicine is prescribed (for example, a condition with high morbidity will have, on average, a higher number of occurrences per person than a condition with low morbidity) or the drug effect itself.[7]</w:t>
      </w:r>
    </w:p>
    <w:p w14:paraId="01351F94" w14:textId="77777777" w:rsidR="00C527FD" w:rsidRPr="002900ED" w:rsidRDefault="00C527FD" w:rsidP="00C527FD">
      <w:pPr>
        <w:spacing w:after="0" w:line="240" w:lineRule="auto"/>
        <w:rPr>
          <w:rFonts w:ascii="Times New Roman" w:eastAsia="Times New Roman" w:hAnsi="Times New Roman" w:cs="Times New Roman"/>
          <w:noProof w:val="0"/>
          <w:kern w:val="0"/>
          <w:sz w:val="24"/>
          <w:szCs w:val="24"/>
          <w:lang w:eastAsia="en-IN" w:bidi="te-IN"/>
          <w14:ligatures w14:val="none"/>
        </w:rPr>
      </w:pPr>
    </w:p>
    <w:p w14:paraId="5676E1BD" w14:textId="083B7865" w:rsidR="00F47ED3" w:rsidRPr="002900ED" w:rsidRDefault="00007744"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TARGETED CLINICAL INVESTIGATION</w:t>
      </w:r>
    </w:p>
    <w:p w14:paraId="6697905A" w14:textId="46CD9E1B" w:rsidR="00F47ED3" w:rsidRPr="002900ED" w:rsidRDefault="00F47ED3"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When significant hazards are detected during pre-approval clinical trials, additional clinical studies may be required to investigate the mechanism of action for the adverse event. In some cases, pharmacodynamics and pharmacokinetics studies may be performed to establish whether a specific dosing instruction puts patients at risk of adverse outcomes. Genetic testing can also help determine which patients are more likely to experience </w:t>
      </w:r>
      <w:r w:rsidR="008B7A51" w:rsidRPr="002900ED">
        <w:rPr>
          <w:rFonts w:ascii="Times New Roman" w:eastAsia="Times New Roman" w:hAnsi="Times New Roman" w:cs="Times New Roman"/>
          <w:noProof w:val="0"/>
          <w:kern w:val="0"/>
          <w:sz w:val="24"/>
          <w:szCs w:val="24"/>
          <w:lang w:eastAsia="en-IN" w:bidi="te-IN"/>
          <w14:ligatures w14:val="none"/>
        </w:rPr>
        <w:t>unfavourable</w:t>
      </w:r>
      <w:r w:rsidRPr="002900ED">
        <w:rPr>
          <w:rFonts w:ascii="Times New Roman" w:eastAsia="Times New Roman" w:hAnsi="Times New Roman" w:cs="Times New Roman"/>
          <w:noProof w:val="0"/>
          <w:kern w:val="0"/>
          <w:sz w:val="24"/>
          <w:szCs w:val="24"/>
          <w:lang w:eastAsia="en-IN" w:bidi="te-IN"/>
          <w14:ligatures w14:val="none"/>
        </w:rPr>
        <w:t xml:space="preserve"> effects. Furthermore, specific studies to explore potential drug-drug interactions and food-drug interactions must be done depending on the drug's pharmacological qualities and intended use in general practice. These investigations may include population pharmacokinetic studies and medication concentration monitoring in patients and healthy volunteers.[7]</w:t>
      </w:r>
    </w:p>
    <w:p w14:paraId="00C6D549" w14:textId="77777777" w:rsidR="00F47ED3" w:rsidRPr="002900ED" w:rsidRDefault="00F47ED3" w:rsidP="008B7A51">
      <w:pPr>
        <w:jc w:val="both"/>
        <w:rPr>
          <w:rFonts w:ascii="Times New Roman" w:hAnsi="Times New Roman" w:cs="Times New Roman"/>
          <w:sz w:val="24"/>
          <w:szCs w:val="24"/>
        </w:rPr>
      </w:pPr>
    </w:p>
    <w:p w14:paraId="2D833099" w14:textId="6D97CDBE" w:rsidR="00F47ED3" w:rsidRPr="002900ED" w:rsidRDefault="00C527FD"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PHARMACOVIGILANCE IN INDIA</w:t>
      </w:r>
    </w:p>
    <w:p w14:paraId="63870A2C" w14:textId="225E65DC" w:rsidR="008B7A51" w:rsidRDefault="00E00207" w:rsidP="00802C9B">
      <w:pPr>
        <w:spacing w:after="0" w:line="240" w:lineRule="auto"/>
        <w:jc w:val="both"/>
        <w:rPr>
          <w:rFonts w:ascii="Times New Roman" w:eastAsia="Times New Roman" w:hAnsi="Times New Roman" w:cs="Times New Roman"/>
          <w:noProof w:val="0"/>
          <w:kern w:val="0"/>
          <w:sz w:val="24"/>
          <w:szCs w:val="24"/>
          <w:lang w:eastAsia="en-IN"/>
          <w14:ligatures w14:val="none"/>
        </w:rPr>
      </w:pPr>
      <w:r w:rsidRPr="00E00207">
        <w:rPr>
          <w:rFonts w:ascii="Times New Roman" w:eastAsia="Times New Roman" w:hAnsi="Times New Roman" w:cs="Times New Roman"/>
          <w:noProof w:val="0"/>
          <w:kern w:val="0"/>
          <w:sz w:val="24"/>
          <w:szCs w:val="24"/>
          <w:lang w:eastAsia="en-IN"/>
          <w14:ligatures w14:val="none"/>
        </w:rPr>
        <w:t>There were 9,36,488 registered doctors in India as of December 31, 2014, and as of November 20, 2015, according to the Medical Council of India (MI</w:t>
      </w:r>
      <w:r w:rsidR="00F47ED3" w:rsidRPr="002900ED">
        <w:rPr>
          <w:rFonts w:ascii="Times New Roman" w:eastAsia="Times New Roman" w:hAnsi="Times New Roman" w:cs="Times New Roman"/>
          <w:noProof w:val="0"/>
          <w:kern w:val="0"/>
          <w:sz w:val="24"/>
          <w:szCs w:val="24"/>
          <w:lang w:eastAsia="en-IN" w:bidi="te-IN"/>
          <w14:ligatures w14:val="none"/>
        </w:rPr>
        <w:t xml:space="preserve">. There are a total of 18,365 hospitals with 8,24,000 beds. India is the world's </w:t>
      </w:r>
      <w:r w:rsidR="002900ED">
        <w:rPr>
          <w:rFonts w:ascii="Times New Roman" w:eastAsia="Times New Roman" w:hAnsi="Times New Roman" w:cs="Times New Roman"/>
          <w:noProof w:val="0"/>
          <w:kern w:val="0"/>
          <w:sz w:val="24"/>
          <w:szCs w:val="24"/>
          <w:lang w:eastAsia="en-IN" w:bidi="te-IN"/>
          <w14:ligatures w14:val="none"/>
        </w:rPr>
        <w:t>fourth-largest</w:t>
      </w:r>
      <w:r w:rsidR="00F47ED3" w:rsidRPr="002900ED">
        <w:rPr>
          <w:rFonts w:ascii="Times New Roman" w:eastAsia="Times New Roman" w:hAnsi="Times New Roman" w:cs="Times New Roman"/>
          <w:noProof w:val="0"/>
          <w:kern w:val="0"/>
          <w:sz w:val="24"/>
          <w:szCs w:val="24"/>
          <w:lang w:eastAsia="en-IN" w:bidi="te-IN"/>
          <w14:ligatures w14:val="none"/>
        </w:rPr>
        <w:t xml:space="preserve"> manufacturer of pharmaceuticals. It is also emerging as a major clinical trial hub for the world. Many new medications are being brought into our country following clinical studies. As a result, the government </w:t>
      </w:r>
      <w:r w:rsidR="002900ED">
        <w:rPr>
          <w:rFonts w:ascii="Times New Roman" w:eastAsia="Times New Roman" w:hAnsi="Times New Roman" w:cs="Times New Roman"/>
          <w:noProof w:val="0"/>
          <w:kern w:val="0"/>
          <w:sz w:val="24"/>
          <w:szCs w:val="24"/>
          <w:lang w:eastAsia="en-IN" w:bidi="te-IN"/>
          <w14:ligatures w14:val="none"/>
        </w:rPr>
        <w:t>needs</w:t>
      </w:r>
      <w:r w:rsidR="00F47ED3" w:rsidRPr="002900ED">
        <w:rPr>
          <w:rFonts w:ascii="Times New Roman" w:eastAsia="Times New Roman" w:hAnsi="Times New Roman" w:cs="Times New Roman"/>
          <w:noProof w:val="0"/>
          <w:kern w:val="0"/>
          <w:sz w:val="24"/>
          <w:szCs w:val="24"/>
          <w:lang w:eastAsia="en-IN" w:bidi="te-IN"/>
          <w14:ligatures w14:val="none"/>
        </w:rPr>
        <w:t xml:space="preserve"> an active pharmacovigilance system to protect the people from any potential harm caused by some of these new pharmaceuticals. </w:t>
      </w:r>
      <w:r w:rsidR="002900ED">
        <w:rPr>
          <w:rFonts w:ascii="Times New Roman" w:eastAsia="Times New Roman" w:hAnsi="Times New Roman" w:cs="Times New Roman"/>
          <w:noProof w:val="0"/>
          <w:kern w:val="0"/>
          <w:sz w:val="24"/>
          <w:szCs w:val="24"/>
          <w:lang w:eastAsia="en-IN" w:bidi="te-IN"/>
          <w14:ligatures w14:val="none"/>
        </w:rPr>
        <w:t>The</w:t>
      </w:r>
      <w:r w:rsidR="00F47ED3" w:rsidRPr="002900ED">
        <w:rPr>
          <w:rFonts w:ascii="Times New Roman" w:eastAsia="Times New Roman" w:hAnsi="Times New Roman" w:cs="Times New Roman"/>
          <w:noProof w:val="0"/>
          <w:kern w:val="0"/>
          <w:sz w:val="24"/>
          <w:szCs w:val="24"/>
          <w:lang w:eastAsia="en-IN" w:bidi="te-IN"/>
          <w14:ligatures w14:val="none"/>
        </w:rPr>
        <w:t xml:space="preserve"> Central Drugs Standard Control Organization (CDSCO) has launched a well-structured and participative national pharmacovigilance program. It is heavily based on the recommendations provided in the WHO paper "Safety Monitoring of Medicinal Products - Guidelines for Establishing and Operating a Pharmacovigilance </w:t>
      </w:r>
      <w:r w:rsidR="008B7A51" w:rsidRPr="002900ED">
        <w:rPr>
          <w:rFonts w:ascii="Times New Roman" w:eastAsia="Times New Roman" w:hAnsi="Times New Roman" w:cs="Times New Roman"/>
          <w:noProof w:val="0"/>
          <w:kern w:val="0"/>
          <w:sz w:val="24"/>
          <w:szCs w:val="24"/>
          <w:lang w:eastAsia="en-IN" w:bidi="te-IN"/>
          <w14:ligatures w14:val="none"/>
        </w:rPr>
        <w:t>Centre</w:t>
      </w:r>
      <w:r w:rsidR="00F47ED3" w:rsidRPr="002900ED">
        <w:rPr>
          <w:rFonts w:ascii="Times New Roman" w:eastAsia="Times New Roman" w:hAnsi="Times New Roman" w:cs="Times New Roman"/>
          <w:noProof w:val="0"/>
          <w:kern w:val="0"/>
          <w:sz w:val="24"/>
          <w:szCs w:val="24"/>
          <w:lang w:eastAsia="en-IN" w:bidi="te-IN"/>
          <w14:ligatures w14:val="none"/>
        </w:rPr>
        <w:t xml:space="preserve">." The </w:t>
      </w:r>
      <w:r w:rsidR="008B7A51" w:rsidRPr="002900ED">
        <w:rPr>
          <w:rFonts w:ascii="Times New Roman" w:eastAsia="Times New Roman" w:hAnsi="Times New Roman" w:cs="Times New Roman"/>
          <w:noProof w:val="0"/>
          <w:kern w:val="0"/>
          <w:sz w:val="24"/>
          <w:szCs w:val="24"/>
          <w:lang w:eastAsia="en-IN" w:bidi="te-IN"/>
          <w14:ligatures w14:val="none"/>
        </w:rPr>
        <w:t>Honourable</w:t>
      </w:r>
      <w:r w:rsidR="00F47ED3" w:rsidRPr="002900ED">
        <w:rPr>
          <w:rFonts w:ascii="Times New Roman" w:eastAsia="Times New Roman" w:hAnsi="Times New Roman" w:cs="Times New Roman"/>
          <w:noProof w:val="0"/>
          <w:kern w:val="0"/>
          <w:sz w:val="24"/>
          <w:szCs w:val="24"/>
          <w:lang w:eastAsia="en-IN" w:bidi="te-IN"/>
          <w14:ligatures w14:val="none"/>
        </w:rPr>
        <w:t xml:space="preserve"> Health Minister Dr.</w:t>
      </w:r>
      <w:r w:rsidR="008B7A51">
        <w:rPr>
          <w:rFonts w:ascii="Times New Roman" w:eastAsia="Times New Roman" w:hAnsi="Times New Roman" w:cs="Times New Roman"/>
          <w:noProof w:val="0"/>
          <w:kern w:val="0"/>
          <w:sz w:val="24"/>
          <w:szCs w:val="24"/>
          <w:lang w:eastAsia="en-IN" w:bidi="te-IN"/>
          <w14:ligatures w14:val="none"/>
        </w:rPr>
        <w:t xml:space="preserve"> </w:t>
      </w:r>
      <w:r w:rsidR="00F47ED3" w:rsidRPr="002900ED">
        <w:rPr>
          <w:rFonts w:ascii="Times New Roman" w:eastAsia="Times New Roman" w:hAnsi="Times New Roman" w:cs="Times New Roman"/>
          <w:noProof w:val="0"/>
          <w:kern w:val="0"/>
          <w:sz w:val="24"/>
          <w:szCs w:val="24"/>
          <w:lang w:eastAsia="en-IN" w:bidi="te-IN"/>
          <w14:ligatures w14:val="none"/>
        </w:rPr>
        <w:t>Anbumani Ramadoss officially launched the national pharmacovigilance project on November 23, 2004, in New Delhi.[18] Pharmacovigilance in India began in 1986 with the establishment of a formal adverse drug reaction (ADR) monitoring system overseen by India's drug controller.</w:t>
      </w:r>
      <w:r w:rsidR="00927A75" w:rsidRPr="002900ED">
        <w:rPr>
          <w:rFonts w:ascii="Times New Roman" w:eastAsia="Times New Roman" w:hAnsi="Times New Roman" w:cs="Times New Roman"/>
          <w:noProof w:val="0"/>
          <w:kern w:val="0"/>
          <w:sz w:val="24"/>
          <w:szCs w:val="24"/>
          <w:lang w:eastAsia="en-IN" w:bidi="te-IN"/>
          <w14:ligatures w14:val="none"/>
        </w:rPr>
        <w:t xml:space="preserve"> India joined the World Health Organization's (WHO) Programme for International Drug Monitoring in 1998 but did not </w:t>
      </w:r>
      <w:r w:rsidR="00927A75" w:rsidRPr="002900ED">
        <w:rPr>
          <w:rFonts w:ascii="Times New Roman" w:eastAsia="Times New Roman" w:hAnsi="Times New Roman" w:cs="Times New Roman"/>
          <w:noProof w:val="0"/>
          <w:kern w:val="0"/>
          <w:sz w:val="24"/>
          <w:szCs w:val="24"/>
          <w:lang w:eastAsia="en-IN" w:bidi="te-IN"/>
          <w14:ligatures w14:val="none"/>
        </w:rPr>
        <w:lastRenderedPageBreak/>
        <w:t xml:space="preserve">succeed. Later, the National Programme of Pharmacovigilance was established in 2005 and renamed the Pharmacovigilance Programme of India (PvPI) in 2010. Steps were </w:t>
      </w:r>
      <w:r w:rsidR="002900ED">
        <w:rPr>
          <w:rFonts w:ascii="Times New Roman" w:eastAsia="Times New Roman" w:hAnsi="Times New Roman" w:cs="Times New Roman"/>
          <w:noProof w:val="0"/>
          <w:kern w:val="0"/>
          <w:sz w:val="24"/>
          <w:szCs w:val="24"/>
          <w:lang w:eastAsia="en-IN" w:bidi="te-IN"/>
          <w14:ligatures w14:val="none"/>
        </w:rPr>
        <w:t>taken</w:t>
      </w:r>
      <w:r w:rsidR="00927A75" w:rsidRPr="002900ED">
        <w:rPr>
          <w:rFonts w:ascii="Times New Roman" w:eastAsia="Times New Roman" w:hAnsi="Times New Roman" w:cs="Times New Roman"/>
          <w:noProof w:val="0"/>
          <w:kern w:val="0"/>
          <w:sz w:val="24"/>
          <w:szCs w:val="24"/>
          <w:lang w:eastAsia="en-IN" w:bidi="te-IN"/>
          <w14:ligatures w14:val="none"/>
        </w:rPr>
        <w:t xml:space="preserve"> to ensure India's pharmacovigilance system is robust. The National Coordination Centre moved from New Delhi to the Indian Pharmacopoeia Commission (IPC) in Ghaziabad. The PvPI aims to protect the health of the Indian public by ensuring that the benefits of medicines balance the risks of their use. The culture of reporting ADRs has gained amazing success, with 250 PvPI-established adverse drug monitoring </w:t>
      </w:r>
      <w:r w:rsidR="008B7A51" w:rsidRPr="002900ED">
        <w:rPr>
          <w:rFonts w:ascii="Times New Roman" w:eastAsia="Times New Roman" w:hAnsi="Times New Roman" w:cs="Times New Roman"/>
          <w:noProof w:val="0"/>
          <w:kern w:val="0"/>
          <w:sz w:val="24"/>
          <w:szCs w:val="24"/>
          <w:lang w:eastAsia="en-IN" w:bidi="te-IN"/>
          <w14:ligatures w14:val="none"/>
        </w:rPr>
        <w:t>centres</w:t>
      </w:r>
      <w:r w:rsidR="00927A75" w:rsidRPr="002900ED">
        <w:rPr>
          <w:rFonts w:ascii="Times New Roman" w:eastAsia="Times New Roman" w:hAnsi="Times New Roman" w:cs="Times New Roman"/>
          <w:noProof w:val="0"/>
          <w:kern w:val="0"/>
          <w:sz w:val="24"/>
          <w:szCs w:val="24"/>
          <w:lang w:eastAsia="en-IN" w:bidi="te-IN"/>
          <w14:ligatures w14:val="none"/>
        </w:rPr>
        <w:t xml:space="preserve"> all over India and providing training to healthcare practitioners.</w:t>
      </w:r>
      <w:r w:rsidR="00927A75" w:rsidRPr="002900ED">
        <w:rPr>
          <w:rFonts w:ascii="Times New Roman" w:hAnsi="Times New Roman" w:cs="Times New Roman"/>
          <w:sz w:val="24"/>
          <w:szCs w:val="24"/>
        </w:rPr>
        <w:t xml:space="preserve"> </w:t>
      </w:r>
      <w:r w:rsidR="00927A75" w:rsidRPr="002900ED">
        <w:rPr>
          <w:rFonts w:ascii="Times New Roman" w:eastAsia="Times New Roman" w:hAnsi="Times New Roman" w:cs="Times New Roman"/>
          <w:noProof w:val="0"/>
          <w:kern w:val="0"/>
          <w:sz w:val="24"/>
          <w:szCs w:val="24"/>
          <w:lang w:eastAsia="en-IN" w:bidi="te-IN"/>
          <w14:ligatures w14:val="none"/>
        </w:rPr>
        <w:t xml:space="preserve">The initiative is working hard to foster trust between the physician and the patient, so enhancing patient safety and public confidence in the country's health-care system, as well as detecting substandard drugs and prescribing, dispensing, and administration problems. The IPC-PvPI is now a WHO Collaborating </w:t>
      </w:r>
      <w:r w:rsidR="008B7A51" w:rsidRPr="002900ED">
        <w:rPr>
          <w:rFonts w:ascii="Times New Roman" w:eastAsia="Times New Roman" w:hAnsi="Times New Roman" w:cs="Times New Roman"/>
          <w:noProof w:val="0"/>
          <w:kern w:val="0"/>
          <w:sz w:val="24"/>
          <w:szCs w:val="24"/>
          <w:lang w:eastAsia="en-IN" w:bidi="te-IN"/>
          <w14:ligatures w14:val="none"/>
        </w:rPr>
        <w:t>Centre</w:t>
      </w:r>
      <w:r w:rsidR="00927A75" w:rsidRPr="002900ED">
        <w:rPr>
          <w:rFonts w:ascii="Times New Roman" w:eastAsia="Times New Roman" w:hAnsi="Times New Roman" w:cs="Times New Roman"/>
          <w:noProof w:val="0"/>
          <w:kern w:val="0"/>
          <w:sz w:val="24"/>
          <w:szCs w:val="24"/>
          <w:lang w:eastAsia="en-IN" w:bidi="te-IN"/>
          <w14:ligatures w14:val="none"/>
        </w:rPr>
        <w:t xml:space="preserve"> for Pharmacovigilance in Public Health Programmes and Regulatory Services. Despite these gains, the PvPI has a number of problems, including the monitoring of generic pharmaceuticals, biosimilars, and disease-specific ADRs of antidiabetic, cardiovascular, and antipsychotic drugs, as well as the ongoing process of raising awareness. At the same time, the PvPI is aiming to address additional concerns like counterfeit medications, antimicrobial resistance, and surveillance during mass vaccinations and other national projects</w:t>
      </w:r>
      <w:r w:rsidR="008B7A51">
        <w:rPr>
          <w:rFonts w:ascii="Times New Roman" w:eastAsia="Times New Roman" w:hAnsi="Times New Roman" w:cs="Times New Roman"/>
          <w:noProof w:val="0"/>
          <w:kern w:val="0"/>
          <w:sz w:val="24"/>
          <w:szCs w:val="24"/>
          <w:lang w:eastAsia="en-IN" w:bidi="te-IN"/>
          <w14:ligatures w14:val="none"/>
        </w:rPr>
        <w:t xml:space="preserve"> </w:t>
      </w:r>
      <w:r w:rsidR="00927A75" w:rsidRPr="002900ED">
        <w:rPr>
          <w:rFonts w:ascii="Times New Roman" w:eastAsia="Times New Roman" w:hAnsi="Times New Roman" w:cs="Times New Roman"/>
          <w:noProof w:val="0"/>
          <w:kern w:val="0"/>
          <w:sz w:val="24"/>
          <w:szCs w:val="24"/>
          <w:lang w:eastAsia="en-IN" w:bidi="te-IN"/>
          <w14:ligatures w14:val="none"/>
        </w:rPr>
        <w:t>[19]</w:t>
      </w:r>
      <w:r w:rsidR="00927A75" w:rsidRPr="002900ED">
        <w:rPr>
          <w:rFonts w:ascii="Times New Roman" w:hAnsi="Times New Roman" w:cs="Times New Roman"/>
          <w:sz w:val="24"/>
          <w:szCs w:val="24"/>
        </w:rPr>
        <w:t xml:space="preserve"> </w:t>
      </w:r>
      <w:r w:rsidR="00927A75" w:rsidRPr="002900ED">
        <w:rPr>
          <w:rFonts w:ascii="Times New Roman" w:eastAsia="Times New Roman" w:hAnsi="Times New Roman" w:cs="Times New Roman"/>
          <w:noProof w:val="0"/>
          <w:kern w:val="0"/>
          <w:sz w:val="24"/>
          <w:szCs w:val="24"/>
          <w:lang w:eastAsia="en-IN" w:bidi="te-IN"/>
          <w14:ligatures w14:val="none"/>
        </w:rPr>
        <w:t>The Central medications Standard Control Organization announced key safety label modifications on medications such as carbamazepine and piperacillin + tazobactam in 2015, while other drugs are being monitored for regulatory actions.[19]</w:t>
      </w:r>
    </w:p>
    <w:p w14:paraId="4ED3EC66" w14:textId="77777777" w:rsidR="00802C9B" w:rsidRPr="002900ED" w:rsidRDefault="00802C9B" w:rsidP="00802C9B">
      <w:pPr>
        <w:spacing w:after="0" w:line="240" w:lineRule="auto"/>
        <w:jc w:val="both"/>
        <w:rPr>
          <w:rFonts w:ascii="Times New Roman" w:eastAsia="Times New Roman" w:hAnsi="Times New Roman" w:cs="Times New Roman"/>
          <w:noProof w:val="0"/>
          <w:kern w:val="0"/>
          <w:sz w:val="24"/>
          <w:szCs w:val="24"/>
          <w:lang w:eastAsia="en-IN"/>
          <w14:ligatures w14:val="none"/>
        </w:rPr>
      </w:pPr>
    </w:p>
    <w:p w14:paraId="5C495D37" w14:textId="22E9A620" w:rsidR="00F47ED3" w:rsidRPr="002900ED" w:rsidRDefault="00C527FD"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 xml:space="preserve">STRENGTHING OF </w:t>
      </w:r>
      <w:r w:rsidR="008B7A51">
        <w:rPr>
          <w:rFonts w:ascii="Times New Roman" w:hAnsi="Times New Roman" w:cs="Times New Roman"/>
          <w:b/>
          <w:bCs/>
          <w:sz w:val="24"/>
          <w:szCs w:val="24"/>
        </w:rPr>
        <w:t>PHARMACOVIGILANCE</w:t>
      </w:r>
    </w:p>
    <w:p w14:paraId="3E641F0D" w14:textId="57B1D4A6" w:rsidR="0043291C" w:rsidRPr="002900ED" w:rsidRDefault="0043291C" w:rsidP="008B7A51">
      <w:pPr>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To strengthen the PV system, we first need to raise awareness among HCPs. It is the most important aspect of the process since HCPs are the primary source of ADR reporting because they are the ones who spend the most time with patients. We should organize </w:t>
      </w:r>
      <w:r w:rsidR="008B7A51">
        <w:rPr>
          <w:rFonts w:ascii="Times New Roman" w:eastAsia="Times New Roman" w:hAnsi="Times New Roman" w:cs="Times New Roman"/>
          <w:noProof w:val="0"/>
          <w:kern w:val="0"/>
          <w:sz w:val="24"/>
          <w:szCs w:val="24"/>
          <w:lang w:eastAsia="en-IN" w:bidi="te-IN"/>
          <w14:ligatures w14:val="none"/>
        </w:rPr>
        <w:t>advanced-level</w:t>
      </w:r>
      <w:r w:rsidRPr="002900ED">
        <w:rPr>
          <w:rFonts w:ascii="Times New Roman" w:eastAsia="Times New Roman" w:hAnsi="Times New Roman" w:cs="Times New Roman"/>
          <w:noProof w:val="0"/>
          <w:kern w:val="0"/>
          <w:sz w:val="24"/>
          <w:szCs w:val="24"/>
          <w:lang w:eastAsia="en-IN" w:bidi="te-IN"/>
          <w14:ligatures w14:val="none"/>
        </w:rPr>
        <w:t xml:space="preserve"> training for the involved personnel of all ADR monitoring </w:t>
      </w:r>
      <w:r w:rsidR="008B7A51" w:rsidRPr="002900ED">
        <w:rPr>
          <w:rFonts w:ascii="Times New Roman" w:eastAsia="Times New Roman" w:hAnsi="Times New Roman" w:cs="Times New Roman"/>
          <w:noProof w:val="0"/>
          <w:kern w:val="0"/>
          <w:sz w:val="24"/>
          <w:szCs w:val="24"/>
          <w:lang w:eastAsia="en-IN" w:bidi="te-IN"/>
          <w14:ligatures w14:val="none"/>
        </w:rPr>
        <w:t>centres</w:t>
      </w:r>
      <w:r w:rsidRPr="002900ED">
        <w:rPr>
          <w:rFonts w:ascii="Times New Roman" w:eastAsia="Times New Roman" w:hAnsi="Times New Roman" w:cs="Times New Roman"/>
          <w:noProof w:val="0"/>
          <w:kern w:val="0"/>
          <w:sz w:val="24"/>
          <w:szCs w:val="24"/>
          <w:lang w:eastAsia="en-IN" w:bidi="te-IN"/>
          <w14:ligatures w14:val="none"/>
        </w:rPr>
        <w:t xml:space="preserve"> (AMC) in their respective areas. Increase the amount of CME in pharmacovigilance at all AMCs to raise HCPs' awareness of ADR reporting. All accredited medical colleges, hospitals, private and corporate hospitals, and other relevant entities should have their own pharmacovigilance monitoring system. Increase awareness and dissemination of information to the general public about adverse drug reactions, their importance, when to report, what to report, how to report, and where to report through public lectures, media communications, pamphlets, roleplaying, and other means that will reinforce the information to be passed on to them. Newsletters and emails should be sent to HCPs </w:t>
      </w:r>
      <w:r w:rsidR="008B7A51">
        <w:rPr>
          <w:rFonts w:ascii="Times New Roman" w:eastAsia="Times New Roman" w:hAnsi="Times New Roman" w:cs="Times New Roman"/>
          <w:noProof w:val="0"/>
          <w:kern w:val="0"/>
          <w:sz w:val="24"/>
          <w:szCs w:val="24"/>
          <w:lang w:eastAsia="en-IN" w:bidi="te-IN"/>
          <w14:ligatures w14:val="none"/>
        </w:rPr>
        <w:t>regularly</w:t>
      </w:r>
      <w:r w:rsidRPr="002900ED">
        <w:rPr>
          <w:rFonts w:ascii="Times New Roman" w:eastAsia="Times New Roman" w:hAnsi="Times New Roman" w:cs="Times New Roman"/>
          <w:noProof w:val="0"/>
          <w:kern w:val="0"/>
          <w:sz w:val="24"/>
          <w:szCs w:val="24"/>
          <w:lang w:eastAsia="en-IN" w:bidi="te-IN"/>
          <w14:ligatures w14:val="none"/>
        </w:rPr>
        <w:t xml:space="preserve"> to keep them up to date on developments. They should be congratulated and acknowledged positively when they provide proper ADR reports, which will enhance morale and trust in them. The National Coordinating Centre (NCC) at the Indian Pharmacopeia Commission in Ghaziabad has taken a few steps to further ease the process of ADR reporting, including the introduction of a toll-free helpline number, an ADR reporting mobile application, the availability of an ADR reporting form in vernacular languages, and the establishment of ADR monitoring centers with a dedicated pharmacovigilance safety associate to monitor, collect, assess, and report ADRs.[20]</w:t>
      </w:r>
    </w:p>
    <w:p w14:paraId="6C3DE505" w14:textId="2F21F9E5" w:rsidR="0043291C" w:rsidRPr="002900ED" w:rsidRDefault="0043291C" w:rsidP="0043291C">
      <w:pPr>
        <w:spacing w:after="0" w:line="240" w:lineRule="auto"/>
        <w:rPr>
          <w:rFonts w:ascii="Times New Roman" w:eastAsia="Times New Roman" w:hAnsi="Times New Roman" w:cs="Times New Roman"/>
          <w:noProof w:val="0"/>
          <w:kern w:val="0"/>
          <w:sz w:val="24"/>
          <w:szCs w:val="24"/>
          <w:lang w:eastAsia="en-IN" w:bidi="te-IN"/>
          <w14:ligatures w14:val="none"/>
        </w:rPr>
      </w:pPr>
    </w:p>
    <w:p w14:paraId="4CD47B28" w14:textId="4684F0BB" w:rsidR="006124AA" w:rsidRPr="002900ED" w:rsidRDefault="006124AA" w:rsidP="008B7A51">
      <w:pPr>
        <w:spacing w:after="0" w:line="240" w:lineRule="auto"/>
        <w:jc w:val="both"/>
        <w:rPr>
          <w:rFonts w:ascii="Times New Roman" w:eastAsia="Times New Roman" w:hAnsi="Times New Roman" w:cs="Times New Roman"/>
          <w:b/>
          <w:bCs/>
          <w:noProof w:val="0"/>
          <w:kern w:val="0"/>
          <w:sz w:val="24"/>
          <w:szCs w:val="24"/>
          <w:lang w:eastAsia="en-IN" w:bidi="te-IN"/>
          <w14:ligatures w14:val="none"/>
        </w:rPr>
      </w:pPr>
      <w:r w:rsidRPr="002900ED">
        <w:rPr>
          <w:rFonts w:ascii="Times New Roman" w:eastAsia="Times New Roman" w:hAnsi="Times New Roman" w:cs="Times New Roman"/>
          <w:b/>
          <w:bCs/>
          <w:noProof w:val="0"/>
          <w:kern w:val="0"/>
          <w:sz w:val="24"/>
          <w:szCs w:val="24"/>
          <w:lang w:eastAsia="en-IN" w:bidi="te-IN"/>
          <w14:ligatures w14:val="none"/>
        </w:rPr>
        <w:t>NATIONAL PHARMACOVIGILANCE PROGRAM IN INDIA</w:t>
      </w:r>
    </w:p>
    <w:p w14:paraId="4F4CDDFC" w14:textId="6207BD4B" w:rsidR="00942C0D" w:rsidRPr="002900ED" w:rsidRDefault="006124AA"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 xml:space="preserve">On January 1, 2005, the government of India, under the command of the Central Drug Standard Control Organization (CDSCO), Ministry of Health &amp; Family Welfare, Government of India, New Delhi, officially launched the WHO-sponsored and World Bank funded National Pharmacovigilance Program (NPVP) for India, which was largely based on the </w:t>
      </w:r>
      <w:r w:rsidRPr="002900ED">
        <w:rPr>
          <w:rFonts w:ascii="Times New Roman" w:eastAsia="Times New Roman" w:hAnsi="Times New Roman" w:cs="Times New Roman"/>
          <w:noProof w:val="0"/>
          <w:kern w:val="0"/>
          <w:sz w:val="24"/>
          <w:szCs w:val="24"/>
          <w:lang w:eastAsia="en-IN" w:bidi="te-IN"/>
          <w14:ligatures w14:val="none"/>
        </w:rPr>
        <w:lastRenderedPageBreak/>
        <w:t xml:space="preserve">recommendations made by WHO in its document titled "Safety Monitoring of Medicinal Products - Guidelines for Setting Up and Running a Pharmaco."9 The National Pharmacovigilance Advisory Committee, which is housed at the Central Drugs Standard Control Organization, was to manage the initiative. </w:t>
      </w:r>
      <w:r w:rsidR="00942C0D" w:rsidRPr="002900ED">
        <w:rPr>
          <w:rFonts w:ascii="Times New Roman" w:eastAsia="Times New Roman" w:hAnsi="Times New Roman" w:cs="Times New Roman"/>
          <w:noProof w:val="0"/>
          <w:kern w:val="0"/>
          <w:sz w:val="24"/>
          <w:szCs w:val="24"/>
          <w:lang w:eastAsia="en-IN" w:bidi="te-IN"/>
          <w14:ligatures w14:val="none"/>
        </w:rPr>
        <w:t>Prior to the inception of the NPVP, Dr. Ashwani Kumar (Chairman, National Pharmacovigilance Advisory Committee, NPVP), Dr. Brijesh Regal (Advisor, NPVP), and Dr. R. K. Rishi (Senior Scientific Assistance, CDSCO) played important roles in its formation. Under this NPVP, the Department of Pharmacology at the All India Institute of Medical Sciences in New Delhi (led by Prof. S. K. Gupta) was appointed as the National Coordinating Centre (NCC) for monitoring Adverse Drug Reactions (ADR) in the country to protect public health.</w:t>
      </w:r>
      <w:r w:rsidR="00942C0D" w:rsidRPr="002900ED">
        <w:rPr>
          <w:rFonts w:ascii="Times New Roman" w:hAnsi="Times New Roman" w:cs="Times New Roman"/>
          <w:sz w:val="24"/>
          <w:szCs w:val="24"/>
        </w:rPr>
        <w:t xml:space="preserve"> </w:t>
      </w:r>
      <w:r w:rsidR="00942C0D" w:rsidRPr="002900ED">
        <w:rPr>
          <w:rFonts w:ascii="Times New Roman" w:eastAsia="Times New Roman" w:hAnsi="Times New Roman" w:cs="Times New Roman"/>
          <w:noProof w:val="0"/>
          <w:kern w:val="0"/>
          <w:sz w:val="24"/>
          <w:szCs w:val="24"/>
          <w:lang w:eastAsia="en-IN" w:bidi="te-IN"/>
          <w14:ligatures w14:val="none"/>
        </w:rPr>
        <w:t>The NPVP structure is depicted in Figure 1. The South-West (SW) zonal center (located in the Department of Clinical Pharmacology, Seth GS Medical College and KEM Hospital, Mumbai) and the North-East (NE) zonal center (located in the Department of Pharmacology, AIIMS, New Delhi) were tasked with gathering information from across the country and sending it to the committee as well as the Uppsala Monitoring Centre (UMC) in Sweden. Each regional center, in turn, would receive reports from numerous periphery centers (a total of 24).</w:t>
      </w:r>
      <w:r w:rsidR="00942C0D" w:rsidRPr="002900ED">
        <w:rPr>
          <w:rFonts w:ascii="Times New Roman" w:hAnsi="Times New Roman" w:cs="Times New Roman"/>
          <w:sz w:val="24"/>
          <w:szCs w:val="24"/>
        </w:rPr>
        <w:t xml:space="preserve"> </w:t>
      </w:r>
      <w:r w:rsidR="00942C0D" w:rsidRPr="002900ED">
        <w:rPr>
          <w:rFonts w:ascii="Times New Roman" w:eastAsia="Times New Roman" w:hAnsi="Times New Roman" w:cs="Times New Roman"/>
          <w:noProof w:val="0"/>
          <w:kern w:val="0"/>
          <w:sz w:val="24"/>
          <w:szCs w:val="24"/>
          <w:lang w:eastAsia="en-IN" w:bidi="te-IN"/>
          <w14:ligatures w14:val="none"/>
        </w:rPr>
        <w:t xml:space="preserve">The program had three broad objectives. The short-term goal was to </w:t>
      </w:r>
      <w:r w:rsidR="008B7A51" w:rsidRPr="002900ED">
        <w:rPr>
          <w:rFonts w:ascii="Times New Roman" w:eastAsia="Times New Roman" w:hAnsi="Times New Roman" w:cs="Times New Roman"/>
          <w:noProof w:val="0"/>
          <w:kern w:val="0"/>
          <w:sz w:val="24"/>
          <w:szCs w:val="24"/>
          <w:lang w:eastAsia="en-IN" w:bidi="te-IN"/>
          <w14:ligatures w14:val="none"/>
        </w:rPr>
        <w:t>instil</w:t>
      </w:r>
      <w:r w:rsidR="00942C0D" w:rsidRPr="002900ED">
        <w:rPr>
          <w:rFonts w:ascii="Times New Roman" w:eastAsia="Times New Roman" w:hAnsi="Times New Roman" w:cs="Times New Roman"/>
          <w:noProof w:val="0"/>
          <w:kern w:val="0"/>
          <w:sz w:val="24"/>
          <w:szCs w:val="24"/>
          <w:lang w:eastAsia="en-IN" w:bidi="te-IN"/>
          <w14:ligatures w14:val="none"/>
        </w:rPr>
        <w:t xml:space="preserve"> a reporting culture, the intermediate goal was to involve a large number of healthcare professionals in information dissemination, and the long-term goal was for the program to serve as a baseline for worldwide drug monitoring. This program, which ran for five years (2005-2010), played a vital role in accumulating ADR data, much like previous WHO Special Centres. Unfortunately, many reputable institutes were not included in the NPVP, particularly ones that had already been sensitized, such as all previous WHO Special Centres.[21]</w:t>
      </w:r>
      <w:r w:rsidR="002900ED">
        <w:rPr>
          <w:rFonts w:ascii="Times New Roman" w:eastAsia="Times New Roman" w:hAnsi="Times New Roman" w:cs="Times New Roman"/>
          <w:noProof w:val="0"/>
          <w:kern w:val="0"/>
          <w:sz w:val="24"/>
          <w:szCs w:val="24"/>
          <w:lang w:eastAsia="en-IN" w:bidi="te-IN"/>
          <w14:ligatures w14:val="none"/>
        </w:rPr>
        <w:t xml:space="preserve"> </w:t>
      </w:r>
      <w:r w:rsidR="00942C0D" w:rsidRPr="002900ED">
        <w:rPr>
          <w:rFonts w:ascii="Times New Roman" w:eastAsia="Times New Roman" w:hAnsi="Times New Roman" w:cs="Times New Roman"/>
          <w:noProof w:val="0"/>
          <w:kern w:val="0"/>
          <w:sz w:val="24"/>
          <w:szCs w:val="24"/>
          <w:lang w:eastAsia="en-IN" w:bidi="te-IN"/>
          <w14:ligatures w14:val="none"/>
        </w:rPr>
        <w:t>The National Pharmacovigilance Program and the Pharmacovigilance Programme of India are the most recent advancements in this field in the country</w:t>
      </w:r>
      <w:r w:rsidR="002900ED">
        <w:rPr>
          <w:rFonts w:ascii="Times New Roman" w:eastAsia="Times New Roman" w:hAnsi="Times New Roman" w:cs="Times New Roman"/>
          <w:noProof w:val="0"/>
          <w:kern w:val="0"/>
          <w:sz w:val="24"/>
          <w:szCs w:val="24"/>
          <w:lang w:eastAsia="en-IN" w:bidi="te-IN"/>
          <w14:ligatures w14:val="none"/>
        </w:rPr>
        <w:t xml:space="preserve"> </w:t>
      </w:r>
      <w:r w:rsidR="00942C0D" w:rsidRPr="002900ED">
        <w:rPr>
          <w:rFonts w:ascii="Times New Roman" w:eastAsia="Times New Roman" w:hAnsi="Times New Roman" w:cs="Times New Roman"/>
          <w:noProof w:val="0"/>
          <w:kern w:val="0"/>
          <w:sz w:val="24"/>
          <w:szCs w:val="24"/>
          <w:lang w:eastAsia="en-IN" w:bidi="te-IN"/>
          <w14:ligatures w14:val="none"/>
        </w:rPr>
        <w:t>[22].</w:t>
      </w:r>
    </w:p>
    <w:p w14:paraId="351FC41D" w14:textId="49F89C3A" w:rsidR="0043291C" w:rsidRPr="002900ED" w:rsidRDefault="0043291C" w:rsidP="008B7A51">
      <w:pPr>
        <w:jc w:val="both"/>
        <w:rPr>
          <w:rFonts w:ascii="Times New Roman" w:hAnsi="Times New Roman" w:cs="Times New Roman"/>
          <w:b/>
          <w:bCs/>
          <w:sz w:val="24"/>
          <w:szCs w:val="24"/>
        </w:rPr>
      </w:pPr>
    </w:p>
    <w:p w14:paraId="5D9301F6" w14:textId="1E0114D1" w:rsidR="006A2846" w:rsidRPr="002900ED" w:rsidRDefault="006A2846" w:rsidP="008B7A51">
      <w:pPr>
        <w:jc w:val="both"/>
        <w:rPr>
          <w:rFonts w:ascii="Times New Roman" w:hAnsi="Times New Roman" w:cs="Times New Roman"/>
          <w:b/>
          <w:bCs/>
          <w:sz w:val="24"/>
          <w:szCs w:val="24"/>
        </w:rPr>
      </w:pPr>
      <w:bookmarkStart w:id="0" w:name="_Hlk167357779"/>
      <w:r w:rsidRPr="002900ED">
        <w:rPr>
          <w:rFonts w:ascii="Times New Roman" w:hAnsi="Times New Roman" w:cs="Times New Roman"/>
          <w:b/>
          <w:bCs/>
          <w:sz w:val="24"/>
          <w:szCs w:val="24"/>
        </w:rPr>
        <w:t>PHARMACOVIGILANCE</w:t>
      </w:r>
      <w:r w:rsidR="00495613" w:rsidRPr="002900ED">
        <w:rPr>
          <w:rFonts w:ascii="Times New Roman" w:hAnsi="Times New Roman" w:cs="Times New Roman"/>
          <w:b/>
          <w:bCs/>
          <w:sz w:val="24"/>
          <w:szCs w:val="24"/>
        </w:rPr>
        <w:t xml:space="preserve"> </w:t>
      </w:r>
      <w:r w:rsidRPr="002900ED">
        <w:rPr>
          <w:rFonts w:ascii="Times New Roman" w:hAnsi="Times New Roman" w:cs="Times New Roman"/>
          <w:b/>
          <w:bCs/>
          <w:sz w:val="24"/>
          <w:szCs w:val="24"/>
        </w:rPr>
        <w:t>IN AUSTRALIA</w:t>
      </w:r>
    </w:p>
    <w:p w14:paraId="64567397" w14:textId="65FBCF80" w:rsidR="00A42198" w:rsidRPr="0033520B" w:rsidRDefault="00A42198" w:rsidP="008B7A51">
      <w:pPr>
        <w:jc w:val="both"/>
        <w:rPr>
          <w:rFonts w:ascii="Times New Roman" w:eastAsia="Times New Roman" w:hAnsi="Times New Roman" w:cs="Times New Roman"/>
          <w:noProof w:val="0"/>
          <w:kern w:val="0"/>
          <w:sz w:val="24"/>
          <w:szCs w:val="24"/>
          <w:lang w:eastAsia="en-IN"/>
          <w14:ligatures w14:val="none"/>
        </w:rPr>
      </w:pPr>
      <w:r w:rsidRPr="002900ED">
        <w:rPr>
          <w:rFonts w:ascii="Times New Roman" w:hAnsi="Times New Roman" w:cs="Times New Roman"/>
          <w:sz w:val="24"/>
          <w:szCs w:val="24"/>
        </w:rPr>
        <w:t xml:space="preserve">The World Health Organization - external site defines pharmacovigilance as the research and actions involved in identifying, measuring, understanding, and preventing side effects and other medical concerns. The Therapeutic Goods Administration (TGA) gathers and reviews data on the benefit-risk balance of medications in Australia </w:t>
      </w:r>
      <w:r w:rsidR="002900ED">
        <w:rPr>
          <w:rFonts w:ascii="Times New Roman" w:hAnsi="Times New Roman" w:cs="Times New Roman"/>
          <w:sz w:val="24"/>
          <w:szCs w:val="24"/>
        </w:rPr>
        <w:t>to</w:t>
      </w:r>
      <w:r w:rsidRPr="002900ED">
        <w:rPr>
          <w:rFonts w:ascii="Times New Roman" w:hAnsi="Times New Roman" w:cs="Times New Roman"/>
          <w:sz w:val="24"/>
          <w:szCs w:val="24"/>
        </w:rPr>
        <w:t xml:space="preserve"> monitor their safety and, if necessary, take appropriate action</w:t>
      </w:r>
      <w:r w:rsidRPr="002900ED">
        <w:rPr>
          <w:rFonts w:ascii="Times New Roman" w:hAnsi="Times New Roman" w:cs="Times New Roman"/>
          <w:b/>
          <w:bCs/>
          <w:sz w:val="24"/>
          <w:szCs w:val="24"/>
        </w:rPr>
        <w:t>.</w:t>
      </w:r>
      <w:r w:rsidRPr="002900ED">
        <w:rPr>
          <w:rFonts w:ascii="Times New Roman" w:hAnsi="Times New Roman" w:cs="Times New Roman"/>
          <w:sz w:val="24"/>
          <w:szCs w:val="24"/>
        </w:rPr>
        <w:t xml:space="preserve"> This guidance outlines the pharmacovigilance duties of sponsors of medications listed on the Australian Register of Therapeutic Goods (ARTG) and overseen by the TGA. It describes the necessary reporting obligations and provides recommendations on pharmacovigilance best practices.[23] The Australian Drug Evaluation Committee was established in 1963 in response to reports of thalidomide embryopathy, and pharmacovigilance began formally. Despite many policy and committee name changes, statistics on adverse events have been collected regularly since then.</w:t>
      </w:r>
      <w:r w:rsidR="0033520B" w:rsidRPr="0033520B">
        <w:t xml:space="preserve"> </w:t>
      </w:r>
      <w:r w:rsidR="0033520B" w:rsidRPr="0033520B">
        <w:rPr>
          <w:rFonts w:ascii="Times New Roman" w:eastAsia="Times New Roman" w:hAnsi="Times New Roman" w:cs="Times New Roman"/>
          <w:noProof w:val="0"/>
          <w:kern w:val="0"/>
          <w:sz w:val="24"/>
          <w:szCs w:val="24"/>
          <w:lang w:eastAsia="en-IN"/>
          <w14:ligatures w14:val="none"/>
        </w:rPr>
        <w:t>Pre- and post-marketing surveillance, including pharmacovigilance, is overseen by the Therapeutic Goods Administration (TGA) subcommittee on medicines, which was established in January 2017</w:t>
      </w:r>
      <w:r w:rsidRPr="002900ED">
        <w:rPr>
          <w:rFonts w:ascii="Times New Roman" w:hAnsi="Times New Roman" w:cs="Times New Roman"/>
          <w:sz w:val="24"/>
          <w:szCs w:val="24"/>
        </w:rPr>
        <w:t xml:space="preserve">. Previously, adverse events were reported to the TGA by submitting a 'blue card'.2 These cards are no longer available in their physical form. Clinicians can now report the TGA of adverse events using the online Australian Adverse Drug Reactions Reporting System.3 Alternatively, reports can be submitted by phone, mail, fax, or email. The TGA accepts adverse event reports from anybody, including the general public (via a separate online consumer site). A report can be submitted even if there is simply a suspicion that a medicine is producing an adverse impact. It is the TGA's job to investigate and establish </w:t>
      </w:r>
      <w:r w:rsidR="008B7A51">
        <w:rPr>
          <w:rFonts w:ascii="Times New Roman" w:hAnsi="Times New Roman" w:cs="Times New Roman"/>
          <w:sz w:val="24"/>
          <w:szCs w:val="24"/>
        </w:rPr>
        <w:t xml:space="preserve">the </w:t>
      </w:r>
      <w:r w:rsidRPr="002900ED">
        <w:rPr>
          <w:rFonts w:ascii="Times New Roman" w:hAnsi="Times New Roman" w:cs="Times New Roman"/>
          <w:sz w:val="24"/>
          <w:szCs w:val="24"/>
        </w:rPr>
        <w:t>cause.</w:t>
      </w:r>
      <w:r w:rsidR="0033520B" w:rsidRPr="0033520B">
        <w:t xml:space="preserve"> </w:t>
      </w:r>
      <w:r w:rsidR="0033520B" w:rsidRPr="0033520B">
        <w:rPr>
          <w:rFonts w:ascii="Times New Roman" w:eastAsia="Times New Roman" w:hAnsi="Times New Roman" w:cs="Times New Roman"/>
          <w:noProof w:val="0"/>
          <w:kern w:val="0"/>
          <w:sz w:val="24"/>
          <w:szCs w:val="24"/>
          <w:lang w:eastAsia="en-IN"/>
          <w14:ligatures w14:val="none"/>
        </w:rPr>
        <w:t>While it is ideal for all adverse occurrences to be recorded, the TGA is particularly focused on those instances</w:t>
      </w:r>
      <w:r w:rsidRPr="002900ED">
        <w:rPr>
          <w:rFonts w:ascii="Times New Roman" w:hAnsi="Times New Roman" w:cs="Times New Roman"/>
          <w:sz w:val="24"/>
          <w:szCs w:val="24"/>
        </w:rPr>
        <w:t xml:space="preserve">. Reporting </w:t>
      </w:r>
      <w:r w:rsidRPr="002900ED">
        <w:rPr>
          <w:rFonts w:ascii="Times New Roman" w:hAnsi="Times New Roman" w:cs="Times New Roman"/>
          <w:sz w:val="24"/>
          <w:szCs w:val="24"/>
        </w:rPr>
        <w:lastRenderedPageBreak/>
        <w:t xml:space="preserve">previously known or common adverse occurrences allows the TGA to continue building a </w:t>
      </w:r>
      <w:r w:rsidR="008B7A51">
        <w:rPr>
          <w:rFonts w:ascii="Times New Roman" w:hAnsi="Times New Roman" w:cs="Times New Roman"/>
          <w:sz w:val="24"/>
          <w:szCs w:val="24"/>
        </w:rPr>
        <w:t>drug safety</w:t>
      </w:r>
      <w:r w:rsidRPr="002900ED">
        <w:rPr>
          <w:rFonts w:ascii="Times New Roman" w:hAnsi="Times New Roman" w:cs="Times New Roman"/>
          <w:sz w:val="24"/>
          <w:szCs w:val="24"/>
        </w:rPr>
        <w:t xml:space="preserve"> profile'.[24]</w:t>
      </w:r>
    </w:p>
    <w:bookmarkEnd w:id="0"/>
    <w:p w14:paraId="50E7B6A3" w14:textId="77777777" w:rsidR="00A42198" w:rsidRPr="002900ED" w:rsidRDefault="00A42198" w:rsidP="00CB13D3">
      <w:pPr>
        <w:jc w:val="both"/>
        <w:rPr>
          <w:rFonts w:ascii="Times New Roman" w:hAnsi="Times New Roman" w:cs="Times New Roman"/>
          <w:b/>
          <w:bCs/>
          <w:sz w:val="24"/>
          <w:szCs w:val="24"/>
        </w:rPr>
      </w:pPr>
    </w:p>
    <w:p w14:paraId="0684D47A" w14:textId="053A7E57" w:rsidR="00F84E44" w:rsidRPr="002900ED" w:rsidRDefault="00F84E44"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SHOWING THE BLUE CARD: REPORTING ADVERSE REACTIONS</w:t>
      </w:r>
    </w:p>
    <w:p w14:paraId="64C6D016" w14:textId="50BD4982" w:rsidR="00A42198" w:rsidRPr="002900ED" w:rsidRDefault="00A42198" w:rsidP="008B7A51">
      <w:pPr>
        <w:spacing w:after="0" w:line="240" w:lineRule="auto"/>
        <w:jc w:val="both"/>
        <w:rPr>
          <w:rFonts w:ascii="Times New Roman" w:eastAsia="Times New Roman" w:hAnsi="Times New Roman" w:cs="Times New Roman"/>
          <w:noProof w:val="0"/>
          <w:kern w:val="0"/>
          <w:sz w:val="24"/>
          <w:szCs w:val="24"/>
          <w:lang w:eastAsia="en-IN" w:bidi="te-IN"/>
          <w14:ligatures w14:val="none"/>
        </w:rPr>
      </w:pPr>
      <w:r w:rsidRPr="002900ED">
        <w:rPr>
          <w:rFonts w:ascii="Times New Roman" w:eastAsia="Times New Roman" w:hAnsi="Times New Roman" w:cs="Times New Roman"/>
          <w:noProof w:val="0"/>
          <w:kern w:val="0"/>
          <w:sz w:val="24"/>
          <w:szCs w:val="24"/>
          <w:lang w:eastAsia="en-IN" w:bidi="te-IN"/>
          <w14:ligatures w14:val="none"/>
        </w:rPr>
        <w:t>An adverse reaction reporting system's primary aim is to identify harmful side effects linked with medication use. Since 1964, the Australian system has led to the early detection of numerous drug-related disorders. Healthcare professionals, pharmaceutical companies, and consumers can report suspected adverse drug reactions to the Therapeutic Goods Administration's Adverse Drug Reactions Unit. The reports are evaluated, coded, and placed into a database before being examined for trends in adverse events.</w:t>
      </w:r>
      <w:r w:rsidRPr="002900ED">
        <w:rPr>
          <w:rFonts w:ascii="Times New Roman" w:hAnsi="Times New Roman" w:cs="Times New Roman"/>
          <w:sz w:val="24"/>
          <w:szCs w:val="24"/>
        </w:rPr>
        <w:t xml:space="preserve"> </w:t>
      </w:r>
      <w:r w:rsidRPr="002900ED">
        <w:rPr>
          <w:rFonts w:ascii="Times New Roman" w:eastAsia="Times New Roman" w:hAnsi="Times New Roman" w:cs="Times New Roman"/>
          <w:noProof w:val="0"/>
          <w:kern w:val="0"/>
          <w:sz w:val="24"/>
          <w:szCs w:val="24"/>
          <w:lang w:eastAsia="en-IN" w:bidi="te-IN"/>
          <w14:ligatures w14:val="none"/>
        </w:rPr>
        <w:t xml:space="preserve">Selected reports are given to the Adverse </w:t>
      </w:r>
      <w:r w:rsidR="008B7A51">
        <w:rPr>
          <w:rFonts w:ascii="Times New Roman" w:eastAsia="Times New Roman" w:hAnsi="Times New Roman" w:cs="Times New Roman"/>
          <w:noProof w:val="0"/>
          <w:kern w:val="0"/>
          <w:sz w:val="24"/>
          <w:szCs w:val="24"/>
          <w:lang w:eastAsia="en-IN" w:bidi="te-IN"/>
          <w14:ligatures w14:val="none"/>
        </w:rPr>
        <w:t>Medicine</w:t>
      </w:r>
      <w:r w:rsidRPr="002900ED">
        <w:rPr>
          <w:rFonts w:ascii="Times New Roman" w:eastAsia="Times New Roman" w:hAnsi="Times New Roman" w:cs="Times New Roman"/>
          <w:noProof w:val="0"/>
          <w:kern w:val="0"/>
          <w:sz w:val="24"/>
          <w:szCs w:val="24"/>
          <w:lang w:eastAsia="en-IN" w:bidi="te-IN"/>
          <w14:ligatures w14:val="none"/>
        </w:rPr>
        <w:t xml:space="preserve"> Reactions Advisory Committee, which can make recommendations ranging from no action to withdrawing a medicine from the market. The Committee's important job is to inform healthcare professionals about the </w:t>
      </w:r>
      <w:r w:rsidR="008B7A51" w:rsidRPr="002900ED">
        <w:rPr>
          <w:rFonts w:ascii="Times New Roman" w:eastAsia="Times New Roman" w:hAnsi="Times New Roman" w:cs="Times New Roman"/>
          <w:noProof w:val="0"/>
          <w:kern w:val="0"/>
          <w:sz w:val="24"/>
          <w:szCs w:val="24"/>
          <w:lang w:eastAsia="en-IN" w:bidi="te-IN"/>
          <w14:ligatures w14:val="none"/>
        </w:rPr>
        <w:t>unfavourable</w:t>
      </w:r>
      <w:r w:rsidRPr="002900ED">
        <w:rPr>
          <w:rFonts w:ascii="Times New Roman" w:eastAsia="Times New Roman" w:hAnsi="Times New Roman" w:cs="Times New Roman"/>
          <w:noProof w:val="0"/>
          <w:kern w:val="0"/>
          <w:sz w:val="24"/>
          <w:szCs w:val="24"/>
          <w:lang w:eastAsia="en-IN" w:bidi="te-IN"/>
          <w14:ligatures w14:val="none"/>
        </w:rPr>
        <w:t xml:space="preserve"> impacts revealed by their reports. In Australia, healthcare professionals, pharmaceutical companies, and consumers can all report suspected adverse drug reactions to the Adverse Drug Reactions Advisory Committee (ADRAC). Healthcare practitioners typically submit reports on the 'blue card' that </w:t>
      </w:r>
      <w:r w:rsidR="008B7A51">
        <w:rPr>
          <w:rFonts w:ascii="Times New Roman" w:eastAsia="Times New Roman" w:hAnsi="Times New Roman" w:cs="Times New Roman"/>
          <w:noProof w:val="0"/>
          <w:kern w:val="0"/>
          <w:sz w:val="24"/>
          <w:szCs w:val="24"/>
          <w:lang w:eastAsia="en-IN" w:bidi="te-IN"/>
          <w14:ligatures w14:val="none"/>
        </w:rPr>
        <w:t>accompanies</w:t>
      </w:r>
      <w:r w:rsidRPr="002900ED">
        <w:rPr>
          <w:rFonts w:ascii="Times New Roman" w:eastAsia="Times New Roman" w:hAnsi="Times New Roman" w:cs="Times New Roman"/>
          <w:noProof w:val="0"/>
          <w:kern w:val="0"/>
          <w:sz w:val="24"/>
          <w:szCs w:val="24"/>
          <w:lang w:eastAsia="en-IN" w:bidi="te-IN"/>
          <w14:ligatures w14:val="none"/>
        </w:rPr>
        <w:t xml:space="preserve"> the Australian Adverse Drug Reactions Bulletin and the Schedule of Pharmaceutical Benefits. Reports can also be sent by letter, fax, or electronically [25].</w:t>
      </w:r>
    </w:p>
    <w:p w14:paraId="0BDE2890" w14:textId="77777777" w:rsidR="00A42198" w:rsidRPr="002900ED" w:rsidRDefault="00A42198" w:rsidP="00CB13D3">
      <w:pPr>
        <w:jc w:val="both"/>
        <w:rPr>
          <w:rFonts w:ascii="Times New Roman" w:hAnsi="Times New Roman" w:cs="Times New Roman"/>
          <w:sz w:val="24"/>
          <w:szCs w:val="24"/>
        </w:rPr>
      </w:pPr>
    </w:p>
    <w:p w14:paraId="32C9A9C9" w14:textId="41773466" w:rsidR="002C1B33" w:rsidRPr="002900ED" w:rsidRDefault="002C1B33"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MEDICINE SAFETY UPDATES</w:t>
      </w:r>
    </w:p>
    <w:p w14:paraId="4B5E7C4F" w14:textId="0608B3BC" w:rsidR="00BE25D0" w:rsidRPr="002900ED" w:rsidRDefault="00BE25D0" w:rsidP="008B7A51">
      <w:pPr>
        <w:jc w:val="both"/>
        <w:rPr>
          <w:rFonts w:ascii="Times New Roman" w:hAnsi="Times New Roman" w:cs="Times New Roman"/>
          <w:sz w:val="24"/>
          <w:szCs w:val="24"/>
        </w:rPr>
      </w:pPr>
      <w:r w:rsidRPr="002900ED">
        <w:rPr>
          <w:rFonts w:ascii="Times New Roman" w:hAnsi="Times New Roman" w:cs="Times New Roman"/>
          <w:sz w:val="24"/>
          <w:szCs w:val="24"/>
        </w:rPr>
        <w:t>Medicines Safety Update (MSU) provides health professionals with practical drug safety information and recommendations, as well as updates on new safety risks. It provides information on adverse event reporting and how health professionals can help with safety monitoring in Australia. [25]</w:t>
      </w:r>
    </w:p>
    <w:p w14:paraId="4D80CA20" w14:textId="2CF2E7BB" w:rsidR="008B7A51" w:rsidRPr="008B7A51" w:rsidRDefault="00BE25D0" w:rsidP="008B7A51">
      <w:pPr>
        <w:jc w:val="both"/>
        <w:rPr>
          <w:rFonts w:ascii="Times New Roman" w:hAnsi="Times New Roman" w:cs="Times New Roman"/>
          <w:b/>
          <w:bCs/>
          <w:sz w:val="24"/>
          <w:szCs w:val="24"/>
        </w:rPr>
      </w:pPr>
      <w:r w:rsidRPr="002900ED">
        <w:rPr>
          <w:rFonts w:ascii="Times New Roman" w:hAnsi="Times New Roman" w:cs="Times New Roman"/>
          <w:b/>
          <w:bCs/>
          <w:sz w:val="24"/>
          <w:szCs w:val="24"/>
        </w:rPr>
        <w:t>MEDICAL DEVICE SAFETY UPDATES</w:t>
      </w:r>
      <w:r w:rsidR="008B7A51" w:rsidRPr="008B7A51">
        <w:rPr>
          <w:rFonts w:ascii="Times New Roman" w:eastAsia="Times New Roman" w:hAnsi="Times New Roman" w:cs="Times New Roman"/>
          <w:noProof w:val="0"/>
          <w:kern w:val="0"/>
          <w:sz w:val="24"/>
          <w:szCs w:val="24"/>
          <w:lang w:eastAsia="en-IN"/>
          <w14:ligatures w14:val="none"/>
        </w:rPr>
        <w:t xml:space="preserve">Health professionals can find useful information and guidance on medical device safety, as well as information on emerging safety issues, from the Medical Devices Safety Update (MDSU). </w:t>
      </w:r>
    </w:p>
    <w:p w14:paraId="0143D272" w14:textId="3ED21172" w:rsidR="00BE25D0" w:rsidRPr="002900ED" w:rsidRDefault="00BE25D0" w:rsidP="008B7A51">
      <w:pPr>
        <w:jc w:val="both"/>
        <w:rPr>
          <w:rFonts w:ascii="Times New Roman" w:hAnsi="Times New Roman" w:cs="Times New Roman"/>
          <w:sz w:val="24"/>
          <w:szCs w:val="24"/>
        </w:rPr>
      </w:pPr>
      <w:r w:rsidRPr="002900ED">
        <w:rPr>
          <w:rFonts w:ascii="Times New Roman" w:hAnsi="Times New Roman" w:cs="Times New Roman"/>
          <w:sz w:val="24"/>
          <w:szCs w:val="24"/>
        </w:rPr>
        <w:t>It provides information on adverse event reporting and how health professionals can help with safety monitoring in Australia. [26]</w:t>
      </w:r>
    </w:p>
    <w:p w14:paraId="47408A9D" w14:textId="7F088971" w:rsidR="00BE25D0" w:rsidRPr="002900ED" w:rsidRDefault="00C527FD" w:rsidP="008B7A51">
      <w:pPr>
        <w:pStyle w:val="NormalWeb"/>
        <w:shd w:val="clear" w:color="auto" w:fill="FFFFFF"/>
        <w:jc w:val="both"/>
        <w:rPr>
          <w:b/>
          <w:bCs/>
        </w:rPr>
      </w:pPr>
      <w:r w:rsidRPr="002900ED">
        <w:rPr>
          <w:b/>
          <w:bCs/>
        </w:rPr>
        <w:t>QUALIFIED PERSON RESPONSIBLE FOR PHARMACOVIGILANCE IN AUSTRALIA</w:t>
      </w:r>
    </w:p>
    <w:p w14:paraId="6CFED7A3" w14:textId="412B3D5E" w:rsidR="00BE25D0" w:rsidRPr="002900ED" w:rsidRDefault="00BE25D0" w:rsidP="008B7A51">
      <w:pPr>
        <w:pStyle w:val="NormalWeb"/>
        <w:shd w:val="clear" w:color="auto" w:fill="FFFFFF"/>
        <w:jc w:val="both"/>
      </w:pPr>
      <w:r w:rsidRPr="002900ED">
        <w:t>In Australia, you should have a qualified person in charge of all pharmacovigilance activities. Ideally, this person will also serve as the A-PVCP in charge of reporting to the TGA and coordinating our pharmacovigilance communications. The qualified person responsible for pharmacovigilance in Australia (QPPVA) must verify that the sponsor has an efficient pharmacovigilance system in place and meets all legal pharmacovigilance standards.</w:t>
      </w:r>
    </w:p>
    <w:p w14:paraId="2FB82A6E" w14:textId="0C2629E7" w:rsidR="00BE25D0" w:rsidRPr="002900ED" w:rsidRDefault="00BE25D0" w:rsidP="008B7A51">
      <w:pPr>
        <w:jc w:val="both"/>
        <w:rPr>
          <w:rFonts w:ascii="Times New Roman" w:hAnsi="Times New Roman" w:cs="Times New Roman"/>
          <w:sz w:val="24"/>
          <w:szCs w:val="24"/>
        </w:rPr>
      </w:pPr>
      <w:r w:rsidRPr="002900ED">
        <w:rPr>
          <w:rFonts w:ascii="Times New Roman" w:hAnsi="Times New Roman" w:cs="Times New Roman"/>
          <w:sz w:val="24"/>
          <w:szCs w:val="24"/>
        </w:rPr>
        <w:t xml:space="preserve">The QPPVA should be based in Australia, available between </w:t>
      </w:r>
      <w:r w:rsidR="002900ED">
        <w:rPr>
          <w:rFonts w:ascii="Times New Roman" w:hAnsi="Times New Roman" w:cs="Times New Roman"/>
          <w:sz w:val="24"/>
          <w:szCs w:val="24"/>
        </w:rPr>
        <w:t>9 am</w:t>
      </w:r>
      <w:r w:rsidRPr="002900ED">
        <w:rPr>
          <w:rFonts w:ascii="Times New Roman" w:hAnsi="Times New Roman" w:cs="Times New Roman"/>
          <w:sz w:val="24"/>
          <w:szCs w:val="24"/>
        </w:rPr>
        <w:t>-</w:t>
      </w:r>
      <w:r w:rsidR="002900ED">
        <w:rPr>
          <w:rFonts w:ascii="Times New Roman" w:hAnsi="Times New Roman" w:cs="Times New Roman"/>
          <w:sz w:val="24"/>
          <w:szCs w:val="24"/>
        </w:rPr>
        <w:t>5 pm</w:t>
      </w:r>
      <w:r w:rsidRPr="002900ED">
        <w:rPr>
          <w:rFonts w:ascii="Times New Roman" w:hAnsi="Times New Roman" w:cs="Times New Roman"/>
          <w:sz w:val="24"/>
          <w:szCs w:val="24"/>
        </w:rPr>
        <w:t xml:space="preserve"> AEST Monday-Friday, trained in pharmacovigilance and relevant legislation, and medically qualified (or have access to one). We prefer that this medically qualified individual live and be medically registered in Australia so that they may address adverse reactions, safety concerns, and the benefit-risk balance of drugs in the Australian setting.</w:t>
      </w:r>
    </w:p>
    <w:p w14:paraId="0FCAC2D6" w14:textId="4E205747" w:rsidR="00BE25D0" w:rsidRPr="002900ED" w:rsidRDefault="00BE25D0" w:rsidP="008B7A51">
      <w:pPr>
        <w:jc w:val="both"/>
        <w:rPr>
          <w:rFonts w:ascii="Times New Roman" w:hAnsi="Times New Roman" w:cs="Times New Roman"/>
          <w:sz w:val="24"/>
          <w:szCs w:val="24"/>
        </w:rPr>
      </w:pPr>
      <w:r w:rsidRPr="002900ED">
        <w:rPr>
          <w:rFonts w:ascii="Times New Roman" w:hAnsi="Times New Roman" w:cs="Times New Roman"/>
          <w:sz w:val="24"/>
          <w:szCs w:val="24"/>
        </w:rPr>
        <w:lastRenderedPageBreak/>
        <w:t xml:space="preserve">The QPPVA should be appropriately experienced and qualified to monitor the safety of your medications. Individual QPPVA characteristics and skills should be tailored to their specific tasks and responsibilities, ensuring that you can achieve your pharmacovigilance standards. The QPPVA must have a thorough awareness of both Australian and global pharmacovigilance processes </w:t>
      </w:r>
      <w:r w:rsidR="002900ED">
        <w:rPr>
          <w:rFonts w:ascii="Times New Roman" w:hAnsi="Times New Roman" w:cs="Times New Roman"/>
          <w:sz w:val="24"/>
          <w:szCs w:val="24"/>
        </w:rPr>
        <w:t>to</w:t>
      </w:r>
      <w:r w:rsidRPr="002900ED">
        <w:rPr>
          <w:rFonts w:ascii="Times New Roman" w:hAnsi="Times New Roman" w:cs="Times New Roman"/>
          <w:sz w:val="24"/>
          <w:szCs w:val="24"/>
        </w:rPr>
        <w:t xml:space="preserve"> effectively oversee the complete pharmacovigilance system.[27]</w:t>
      </w:r>
    </w:p>
    <w:p w14:paraId="54A724FE" w14:textId="10424BDF" w:rsidR="000127E1" w:rsidRPr="002900ED" w:rsidRDefault="002900ED" w:rsidP="00CB13D3">
      <w:pPr>
        <w:jc w:val="both"/>
        <w:rPr>
          <w:rFonts w:ascii="Times New Roman" w:hAnsi="Times New Roman" w:cs="Times New Roman"/>
          <w:b/>
          <w:bCs/>
          <w:sz w:val="24"/>
          <w:szCs w:val="24"/>
          <w:vertAlign w:val="superscript"/>
        </w:rPr>
      </w:pPr>
      <w:r>
        <w:rPr>
          <w:rFonts w:ascii="Times New Roman" w:hAnsi="Times New Roman" w:cs="Times New Roman"/>
          <w:b/>
          <w:bCs/>
          <w:sz w:val="24"/>
          <w:szCs w:val="24"/>
        </w:rPr>
        <w:t>BIBLIOGRAPHY</w:t>
      </w:r>
    </w:p>
    <w:p w14:paraId="55528F7A" w14:textId="5A656222"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sz w:val="24"/>
          <w:szCs w:val="24"/>
        </w:rPr>
        <w:t xml:space="preserve">Pashikanti, Shailaja &amp; Sreya, Chaduvula &amp; Nellipudi, Manimala &amp; Snehalatha, G &amp; Satya, K. (2022). A Review on Comparison of Pharmacovigilance Systems in the Us, India, </w:t>
      </w:r>
      <w:r w:rsidR="002900ED">
        <w:rPr>
          <w:rFonts w:ascii="Times New Roman" w:hAnsi="Times New Roman" w:cs="Times New Roman"/>
          <w:sz w:val="24"/>
          <w:szCs w:val="24"/>
        </w:rPr>
        <w:t xml:space="preserve">and </w:t>
      </w:r>
      <w:r w:rsidRPr="002900ED">
        <w:rPr>
          <w:rFonts w:ascii="Times New Roman" w:hAnsi="Times New Roman" w:cs="Times New Roman"/>
          <w:sz w:val="24"/>
          <w:szCs w:val="24"/>
        </w:rPr>
        <w:t>Australia. 10.35629/7781-0704380385.</w:t>
      </w:r>
    </w:p>
    <w:p w14:paraId="5B571DC6" w14:textId="77777777"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color w:val="222222"/>
          <w:sz w:val="24"/>
          <w:szCs w:val="24"/>
          <w:shd w:val="clear" w:color="auto" w:fill="FFFFFF"/>
        </w:rPr>
        <w:t xml:space="preserve"> World Health Organization. The importance of pharmacovigilance.</w:t>
      </w:r>
      <w:hyperlink r:id="rId8" w:history="1">
        <w:r w:rsidRPr="002900ED">
          <w:rPr>
            <w:rStyle w:val="Hyperlink"/>
            <w:rFonts w:ascii="Times New Roman" w:hAnsi="Times New Roman" w:cs="Times New Roman"/>
            <w:sz w:val="24"/>
            <w:szCs w:val="24"/>
            <w:shd w:val="clear" w:color="auto" w:fill="FFFFFF"/>
          </w:rPr>
          <w:t>https://iris.who.int/bitstream/handle/10665/42493/a75646.pdf</w:t>
        </w:r>
      </w:hyperlink>
      <w:r w:rsidRPr="002900ED">
        <w:rPr>
          <w:rFonts w:ascii="Times New Roman" w:hAnsi="Times New Roman" w:cs="Times New Roman"/>
          <w:color w:val="222222"/>
          <w:sz w:val="24"/>
          <w:szCs w:val="24"/>
          <w:shd w:val="clear" w:color="auto" w:fill="FFFFFF"/>
        </w:rPr>
        <w:t>.</w:t>
      </w:r>
    </w:p>
    <w:p w14:paraId="381E28B2" w14:textId="77777777"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color w:val="222222"/>
          <w:sz w:val="24"/>
          <w:szCs w:val="24"/>
          <w:shd w:val="clear" w:color="auto" w:fill="FFFFFF"/>
        </w:rPr>
        <w:t xml:space="preserve"> </w:t>
      </w:r>
      <w:hyperlink r:id="rId9" w:history="1">
        <w:r w:rsidRPr="002900ED">
          <w:rPr>
            <w:rStyle w:val="Hyperlink"/>
            <w:rFonts w:ascii="Times New Roman" w:hAnsi="Times New Roman" w:cs="Times New Roman"/>
            <w:sz w:val="24"/>
            <w:szCs w:val="24"/>
            <w:shd w:val="clear" w:color="auto" w:fill="FFFFFF"/>
          </w:rPr>
          <w:t>https://link.springer.com/article/10.2165/00002018-199921060-00001</w:t>
        </w:r>
      </w:hyperlink>
    </w:p>
    <w:p w14:paraId="780C007D" w14:textId="77777777"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color w:val="222222"/>
          <w:sz w:val="24"/>
          <w:szCs w:val="24"/>
          <w:shd w:val="clear" w:color="auto" w:fill="FFFFFF"/>
        </w:rPr>
        <w:t xml:space="preserve"> Talbot J. Stephens’ detection of new adverse drug reactions. 2004.</w:t>
      </w:r>
      <w:hyperlink r:id="rId10" w:history="1">
        <w:r w:rsidRPr="002900ED">
          <w:rPr>
            <w:rStyle w:val="Hyperlink"/>
            <w:rFonts w:ascii="Times New Roman" w:hAnsi="Times New Roman" w:cs="Times New Roman"/>
            <w:sz w:val="24"/>
            <w:szCs w:val="24"/>
            <w:shd w:val="clear" w:color="auto" w:fill="FFFFFF"/>
          </w:rPr>
          <w:t>https://scholar.google.com/scholar_lookup?&amp;title=Detection%20of%20new%20adverse%20drug%20reactions&amp;publication_year=1998&amp;author=Stephens%2CM.&amp;author=Talbot%2CJ.C.C.&amp;author=Routledge%2CP.A</w:t>
        </w:r>
      </w:hyperlink>
      <w:r w:rsidRPr="002900ED">
        <w:rPr>
          <w:rFonts w:ascii="Times New Roman" w:hAnsi="Times New Roman" w:cs="Times New Roman"/>
          <w:color w:val="222222"/>
          <w:sz w:val="24"/>
          <w:szCs w:val="24"/>
          <w:shd w:val="clear" w:color="auto" w:fill="FFFFFF"/>
        </w:rPr>
        <w:t>.</w:t>
      </w:r>
    </w:p>
    <w:p w14:paraId="7F7BB4B7" w14:textId="77777777"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sz w:val="24"/>
          <w:szCs w:val="24"/>
        </w:rPr>
        <w:t xml:space="preserve"> </w:t>
      </w:r>
      <w:r w:rsidRPr="002900ED">
        <w:rPr>
          <w:rFonts w:ascii="Times New Roman" w:hAnsi="Times New Roman" w:cs="Times New Roman"/>
          <w:color w:val="222222"/>
          <w:sz w:val="24"/>
          <w:szCs w:val="24"/>
          <w:shd w:val="clear" w:color="auto" w:fill="FFFFFF"/>
        </w:rPr>
        <w:t xml:space="preserve">Masurkar, P. P. (2016). A need of better pharmacovigilance system in India. Asian Journal of Pharmaceutical and Clinical Research, 10(1), 22. </w:t>
      </w:r>
      <w:hyperlink r:id="rId11" w:history="1">
        <w:r w:rsidRPr="002900ED">
          <w:rPr>
            <w:rStyle w:val="Hyperlink"/>
            <w:rFonts w:ascii="Times New Roman" w:hAnsi="Times New Roman" w:cs="Times New Roman"/>
            <w:sz w:val="24"/>
            <w:szCs w:val="24"/>
            <w:shd w:val="clear" w:color="auto" w:fill="FFFFFF"/>
          </w:rPr>
          <w:t>https://doi.org/10.22159/ajpcr.2017.v10i1.14797</w:t>
        </w:r>
      </w:hyperlink>
      <w:r w:rsidRPr="002900ED">
        <w:rPr>
          <w:rFonts w:ascii="Times New Roman" w:hAnsi="Times New Roman" w:cs="Times New Roman"/>
          <w:color w:val="222222"/>
          <w:sz w:val="24"/>
          <w:szCs w:val="24"/>
          <w:shd w:val="clear" w:color="auto" w:fill="FFFFFF"/>
        </w:rPr>
        <w:t>.</w:t>
      </w:r>
    </w:p>
    <w:p w14:paraId="47D0D3AE" w14:textId="77777777" w:rsidR="000127E1" w:rsidRPr="002900ED" w:rsidRDefault="008756FC" w:rsidP="000127E1">
      <w:pPr>
        <w:numPr>
          <w:ilvl w:val="0"/>
          <w:numId w:val="2"/>
        </w:numPr>
        <w:tabs>
          <w:tab w:val="left" w:pos="6072"/>
        </w:tabs>
        <w:rPr>
          <w:rFonts w:ascii="Times New Roman" w:hAnsi="Times New Roman" w:cs="Times New Roman"/>
          <w:sz w:val="24"/>
          <w:szCs w:val="24"/>
        </w:rPr>
      </w:pPr>
      <w:hyperlink r:id="rId12" w:history="1">
        <w:r w:rsidR="000127E1" w:rsidRPr="002900ED">
          <w:rPr>
            <w:rStyle w:val="Hyperlink"/>
            <w:rFonts w:ascii="Times New Roman" w:hAnsi="Times New Roman" w:cs="Times New Roman"/>
            <w:sz w:val="24"/>
            <w:szCs w:val="24"/>
          </w:rPr>
          <w:t>The importance of pharmacovigilance (who.int)</w:t>
        </w:r>
      </w:hyperlink>
      <w:r w:rsidR="000127E1" w:rsidRPr="002900ED">
        <w:rPr>
          <w:rFonts w:ascii="Times New Roman" w:hAnsi="Times New Roman" w:cs="Times New Roman"/>
          <w:color w:val="222222"/>
          <w:sz w:val="24"/>
          <w:szCs w:val="24"/>
          <w:shd w:val="clear" w:color="auto" w:fill="FFFFFF"/>
        </w:rPr>
        <w:t>.</w:t>
      </w:r>
    </w:p>
    <w:p w14:paraId="31559626" w14:textId="77777777"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sz w:val="24"/>
          <w:szCs w:val="24"/>
        </w:rPr>
        <w:t xml:space="preserve">Kumar, S., &amp; Baldi, A. (2013). PHARMACOVIGILANCE IN INDIA: PERSPECTIVES AND PROSPECTS. Journal of Drug Delivery and Therapeutics, 3(4). </w:t>
      </w:r>
      <w:hyperlink r:id="rId13" w:history="1">
        <w:r w:rsidRPr="002900ED">
          <w:rPr>
            <w:rStyle w:val="Hyperlink"/>
            <w:rFonts w:ascii="Times New Roman" w:hAnsi="Times New Roman" w:cs="Times New Roman"/>
            <w:sz w:val="24"/>
            <w:szCs w:val="24"/>
          </w:rPr>
          <w:t>https://doi.org/10.22270/jddt.v3i4.619</w:t>
        </w:r>
      </w:hyperlink>
    </w:p>
    <w:p w14:paraId="6CC9ABDD" w14:textId="77777777" w:rsidR="000127E1" w:rsidRPr="002900ED" w:rsidRDefault="000127E1" w:rsidP="000127E1">
      <w:pPr>
        <w:numPr>
          <w:ilvl w:val="0"/>
          <w:numId w:val="2"/>
        </w:numPr>
        <w:tabs>
          <w:tab w:val="left" w:pos="6072"/>
        </w:tabs>
        <w:rPr>
          <w:rFonts w:ascii="Times New Roman" w:hAnsi="Times New Roman" w:cs="Times New Roman"/>
          <w:sz w:val="24"/>
          <w:szCs w:val="24"/>
        </w:rPr>
      </w:pPr>
      <w:bookmarkStart w:id="1" w:name="_Hlk161653426"/>
      <w:r w:rsidRPr="002900ED">
        <w:rPr>
          <w:rFonts w:ascii="Times New Roman" w:hAnsi="Times New Roman" w:cs="Times New Roman"/>
          <w:sz w:val="24"/>
          <w:szCs w:val="24"/>
        </w:rPr>
        <w:t xml:space="preserve">Kumar, S., &amp; Baldi, A. (2013). PHARMACOVIGILANCE IN INDIA: PERSPECTIVES AND PROSPECTS. Journal of Drug Delivery and Therapeutics, 3(4). </w:t>
      </w:r>
      <w:hyperlink r:id="rId14" w:history="1">
        <w:r w:rsidRPr="002900ED">
          <w:rPr>
            <w:rStyle w:val="Hyperlink"/>
            <w:rFonts w:ascii="Times New Roman" w:hAnsi="Times New Roman" w:cs="Times New Roman"/>
            <w:sz w:val="24"/>
            <w:szCs w:val="24"/>
          </w:rPr>
          <w:t>https://doi.org/10.22270/jddt.v3i4.619</w:t>
        </w:r>
      </w:hyperlink>
      <w:bookmarkEnd w:id="1"/>
      <w:r w:rsidRPr="002900ED">
        <w:rPr>
          <w:rFonts w:ascii="Times New Roman" w:hAnsi="Times New Roman" w:cs="Times New Roman"/>
          <w:sz w:val="24"/>
          <w:szCs w:val="24"/>
        </w:rPr>
        <w:t>8</w:t>
      </w:r>
    </w:p>
    <w:p w14:paraId="0FD33FBD" w14:textId="77777777"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color w:val="222222"/>
          <w:sz w:val="24"/>
          <w:szCs w:val="24"/>
          <w:shd w:val="clear" w:color="auto" w:fill="FFFFFF"/>
        </w:rPr>
        <w:t>Dutta, S., &amp; Banerjee, S. (2018). Pharmacovigilance in India: A Need of the Hour. 2, 98–100.</w:t>
      </w:r>
    </w:p>
    <w:p w14:paraId="3640F247" w14:textId="76C9F57E"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color w:val="37393C"/>
          <w:sz w:val="24"/>
          <w:szCs w:val="24"/>
          <w:shd w:val="clear" w:color="auto" w:fill="FFFFFF"/>
        </w:rPr>
        <w:t>Singh, Prakash, J., &amp; Goyal, D. N. (n.d.). Naveen Goyal, Rajeev Tomar, Abhishek Chaudhary.</w:t>
      </w:r>
    </w:p>
    <w:p w14:paraId="749B659B" w14:textId="0BC0E23E"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sz w:val="24"/>
          <w:szCs w:val="24"/>
        </w:rPr>
        <w:t xml:space="preserve"> </w:t>
      </w:r>
      <w:r w:rsidRPr="002900ED">
        <w:rPr>
          <w:rFonts w:ascii="Times New Roman" w:hAnsi="Times New Roman" w:cs="Times New Roman"/>
          <w:color w:val="37393C"/>
          <w:sz w:val="24"/>
          <w:szCs w:val="24"/>
          <w:shd w:val="clear" w:color="auto" w:fill="FFFFFF"/>
        </w:rPr>
        <w:t>Singh, Nouratan. (2015). CURRENT PROBLEMS AND FUTURE PROSPECTIVE OF PHARMACOVIGILANCE IN INDIA. WORLD JOURNAL OF PHARMACY AND PHARMACEUTICAL SCIENCES. 5. 479-489</w:t>
      </w:r>
    </w:p>
    <w:p w14:paraId="0895E705" w14:textId="77777777" w:rsidR="000127E1" w:rsidRPr="002900ED" w:rsidRDefault="008756FC" w:rsidP="000127E1">
      <w:pPr>
        <w:numPr>
          <w:ilvl w:val="0"/>
          <w:numId w:val="2"/>
        </w:numPr>
        <w:tabs>
          <w:tab w:val="left" w:pos="6072"/>
        </w:tabs>
        <w:rPr>
          <w:rFonts w:ascii="Times New Roman" w:hAnsi="Times New Roman" w:cs="Times New Roman"/>
          <w:sz w:val="24"/>
          <w:szCs w:val="24"/>
        </w:rPr>
      </w:pPr>
      <w:hyperlink r:id="rId15" w:history="1">
        <w:r w:rsidR="000127E1" w:rsidRPr="002900ED">
          <w:rPr>
            <w:rStyle w:val="Hyperlink"/>
            <w:rFonts w:ascii="Times New Roman" w:hAnsi="Times New Roman" w:cs="Times New Roman"/>
            <w:sz w:val="24"/>
            <w:szCs w:val="24"/>
          </w:rPr>
          <w:t>The importance of pharmacovigilance (who.int)</w:t>
        </w:r>
      </w:hyperlink>
    </w:p>
    <w:p w14:paraId="79CC5A18" w14:textId="77777777" w:rsidR="000127E1" w:rsidRPr="002900ED" w:rsidRDefault="008756FC" w:rsidP="000127E1">
      <w:pPr>
        <w:numPr>
          <w:ilvl w:val="0"/>
          <w:numId w:val="2"/>
        </w:numPr>
        <w:tabs>
          <w:tab w:val="left" w:pos="6072"/>
        </w:tabs>
        <w:rPr>
          <w:rFonts w:ascii="Times New Roman" w:hAnsi="Times New Roman" w:cs="Times New Roman"/>
          <w:sz w:val="24"/>
          <w:szCs w:val="24"/>
        </w:rPr>
      </w:pPr>
      <w:hyperlink r:id="rId16" w:anchor=":~:text=Importance%20of%20Pharmacovigilance%201%201.%20Patient%20Safety%20and,Cost%20Savings%3A%20...%206%206.%20Global%20Health%20Impact%3A" w:history="1">
        <w:r w:rsidR="000127E1" w:rsidRPr="002900ED">
          <w:rPr>
            <w:rStyle w:val="Hyperlink"/>
            <w:rFonts w:ascii="Times New Roman" w:hAnsi="Times New Roman" w:cs="Times New Roman"/>
            <w:sz w:val="24"/>
            <w:szCs w:val="24"/>
          </w:rPr>
          <w:t>Importance of Pharmacovigilance (thepharmadaily.com)</w:t>
        </w:r>
      </w:hyperlink>
    </w:p>
    <w:p w14:paraId="2FA93C29" w14:textId="77777777" w:rsidR="000127E1" w:rsidRPr="002900ED" w:rsidRDefault="000127E1" w:rsidP="000127E1">
      <w:pPr>
        <w:numPr>
          <w:ilvl w:val="0"/>
          <w:numId w:val="2"/>
        </w:numPr>
        <w:tabs>
          <w:tab w:val="left" w:pos="6072"/>
        </w:tabs>
        <w:rPr>
          <w:rFonts w:ascii="Times New Roman" w:hAnsi="Times New Roman" w:cs="Times New Roman"/>
          <w:sz w:val="24"/>
          <w:szCs w:val="24"/>
        </w:rPr>
      </w:pPr>
      <w:r w:rsidRPr="002900ED">
        <w:rPr>
          <w:rFonts w:ascii="Times New Roman" w:hAnsi="Times New Roman" w:cs="Times New Roman"/>
          <w:color w:val="37393C"/>
          <w:sz w:val="24"/>
          <w:szCs w:val="24"/>
          <w:shd w:val="clear" w:color="auto" w:fill="FFFFFF"/>
        </w:rPr>
        <w:t>Singh, Prakash, J., &amp; Goyal, D. N. (n.d.). Naveen Goyal, Rajeev Tomar, Abhishek Chaudhary.</w:t>
      </w:r>
    </w:p>
    <w:p w14:paraId="0A75CB09" w14:textId="77777777" w:rsidR="000127E1" w:rsidRPr="002900ED" w:rsidRDefault="008756FC" w:rsidP="000127E1">
      <w:pPr>
        <w:numPr>
          <w:ilvl w:val="0"/>
          <w:numId w:val="2"/>
        </w:numPr>
        <w:tabs>
          <w:tab w:val="left" w:pos="6072"/>
        </w:tabs>
        <w:rPr>
          <w:rFonts w:ascii="Times New Roman" w:hAnsi="Times New Roman" w:cs="Times New Roman"/>
          <w:sz w:val="24"/>
          <w:szCs w:val="24"/>
        </w:rPr>
      </w:pPr>
      <w:hyperlink r:id="rId17" w:history="1">
        <w:r w:rsidR="000127E1" w:rsidRPr="002900ED">
          <w:rPr>
            <w:rStyle w:val="Hyperlink"/>
            <w:rFonts w:ascii="Times New Roman" w:hAnsi="Times New Roman" w:cs="Times New Roman"/>
            <w:sz w:val="24"/>
            <w:szCs w:val="24"/>
          </w:rPr>
          <w:t>What is pharmacovigilance and why is it important? | Proclinical Blogs</w:t>
        </w:r>
      </w:hyperlink>
    </w:p>
    <w:p w14:paraId="59245D11" w14:textId="77777777" w:rsidR="000127E1" w:rsidRPr="002900ED" w:rsidRDefault="000127E1" w:rsidP="000127E1">
      <w:pPr>
        <w:numPr>
          <w:ilvl w:val="0"/>
          <w:numId w:val="2"/>
        </w:numPr>
        <w:rPr>
          <w:rFonts w:ascii="Times New Roman" w:hAnsi="Times New Roman" w:cs="Times New Roman"/>
          <w:sz w:val="24"/>
          <w:szCs w:val="24"/>
        </w:rPr>
      </w:pPr>
      <w:r w:rsidRPr="002900ED">
        <w:rPr>
          <w:rFonts w:ascii="Times New Roman" w:hAnsi="Times New Roman" w:cs="Times New Roman"/>
          <w:sz w:val="24"/>
          <w:szCs w:val="24"/>
        </w:rPr>
        <w:lastRenderedPageBreak/>
        <w:t xml:space="preserve">Kesharwani, V., Farooqui, M. A., Kushwaha, N., Singh, R. K., &amp; Jaiswal, P. K. (2018). An overview on Pharmacovigilance: A key for drug safety and monitoring. Journal of Drug Delivery and Therapeutics, 8(5), 130–135. </w:t>
      </w:r>
      <w:hyperlink r:id="rId18" w:history="1">
        <w:r w:rsidRPr="002900ED">
          <w:rPr>
            <w:rStyle w:val="Hyperlink"/>
            <w:rFonts w:ascii="Times New Roman" w:hAnsi="Times New Roman" w:cs="Times New Roman"/>
            <w:sz w:val="24"/>
            <w:szCs w:val="24"/>
          </w:rPr>
          <w:t>https://doi.org/10.22270/jddt.v8i5.1970</w:t>
        </w:r>
      </w:hyperlink>
    </w:p>
    <w:p w14:paraId="63132AD1" w14:textId="77777777" w:rsidR="000127E1" w:rsidRPr="002900ED" w:rsidRDefault="000127E1" w:rsidP="000127E1">
      <w:pPr>
        <w:numPr>
          <w:ilvl w:val="0"/>
          <w:numId w:val="2"/>
        </w:numPr>
        <w:rPr>
          <w:rFonts w:ascii="Times New Roman" w:hAnsi="Times New Roman" w:cs="Times New Roman"/>
          <w:color w:val="37393C"/>
          <w:sz w:val="24"/>
          <w:szCs w:val="24"/>
          <w:shd w:val="clear" w:color="auto" w:fill="FFFFFF"/>
        </w:rPr>
      </w:pPr>
      <w:r w:rsidRPr="002900ED">
        <w:rPr>
          <w:rFonts w:ascii="Times New Roman" w:hAnsi="Times New Roman" w:cs="Times New Roman"/>
          <w:color w:val="37393C"/>
          <w:sz w:val="24"/>
          <w:szCs w:val="24"/>
          <w:shd w:val="clear" w:color="auto" w:fill="FFFFFF"/>
        </w:rPr>
        <w:t xml:space="preserve">Ashwlayan, V. D., &amp; Nimesh, S. (2018). Pharmacovigilance: An Overview. International Journal of Pharmacovigilance, 3(1), 1–6. </w:t>
      </w:r>
      <w:hyperlink r:id="rId19" w:history="1">
        <w:r w:rsidRPr="002900ED">
          <w:rPr>
            <w:rStyle w:val="Hyperlink"/>
            <w:rFonts w:ascii="Times New Roman" w:hAnsi="Times New Roman" w:cs="Times New Roman"/>
            <w:sz w:val="24"/>
            <w:szCs w:val="24"/>
            <w:shd w:val="clear" w:color="auto" w:fill="FFFFFF"/>
          </w:rPr>
          <w:t>https://doi.org/10.15226/2476-2431/3/1/00124</w:t>
        </w:r>
      </w:hyperlink>
    </w:p>
    <w:p w14:paraId="715E855D" w14:textId="77777777" w:rsidR="000127E1" w:rsidRPr="002900ED" w:rsidRDefault="000127E1" w:rsidP="000127E1">
      <w:pPr>
        <w:numPr>
          <w:ilvl w:val="0"/>
          <w:numId w:val="2"/>
        </w:numPr>
        <w:rPr>
          <w:rFonts w:ascii="Times New Roman" w:hAnsi="Times New Roman" w:cs="Times New Roman"/>
          <w:color w:val="37393C"/>
          <w:sz w:val="24"/>
          <w:szCs w:val="24"/>
          <w:shd w:val="clear" w:color="auto" w:fill="FFFFFF"/>
        </w:rPr>
      </w:pPr>
      <w:r w:rsidRPr="002900ED">
        <w:rPr>
          <w:rFonts w:ascii="Times New Roman" w:hAnsi="Times New Roman" w:cs="Times New Roman"/>
          <w:color w:val="37393C"/>
          <w:sz w:val="24"/>
          <w:szCs w:val="24"/>
          <w:shd w:val="clear" w:color="auto" w:fill="FFFFFF"/>
        </w:rPr>
        <w:t>. Singh, Nouratan. (2015). CURRENT PROBLEMS AND FUTURE PROSPECTIVE OF PHARMACOVIGILANCE IN INDIA. WORLD JOURNAL OF PHARMACY AND PHARMACEUTICAL SCIENCES. 5. 479-489.</w:t>
      </w:r>
    </w:p>
    <w:p w14:paraId="522F4123" w14:textId="77777777" w:rsidR="000127E1" w:rsidRPr="002900ED" w:rsidRDefault="000127E1" w:rsidP="000127E1">
      <w:pPr>
        <w:numPr>
          <w:ilvl w:val="0"/>
          <w:numId w:val="2"/>
        </w:numPr>
        <w:rPr>
          <w:rFonts w:ascii="Times New Roman" w:hAnsi="Times New Roman" w:cs="Times New Roman"/>
          <w:sz w:val="24"/>
          <w:szCs w:val="24"/>
        </w:rPr>
      </w:pPr>
      <w:r w:rsidRPr="002900ED">
        <w:rPr>
          <w:rFonts w:ascii="Times New Roman" w:hAnsi="Times New Roman" w:cs="Times New Roman"/>
          <w:sz w:val="24"/>
          <w:szCs w:val="24"/>
        </w:rPr>
        <w:t xml:space="preserve">Kalaiselvan, V., Srivastava, S., Singh, A., &amp; Gupta, S. K. (2019). Pharmacovigilance in India: Present scenario and future challenges. Drug Safety: An International Journal of Medical Toxicology and Drug Experience, 42(3), 339–346. </w:t>
      </w:r>
      <w:hyperlink r:id="rId20" w:history="1">
        <w:r w:rsidRPr="002900ED">
          <w:rPr>
            <w:rStyle w:val="Hyperlink"/>
            <w:rFonts w:ascii="Times New Roman" w:hAnsi="Times New Roman" w:cs="Times New Roman"/>
            <w:sz w:val="24"/>
            <w:szCs w:val="24"/>
          </w:rPr>
          <w:t>https://doi.org/10.1007/s40264-018-0730-7</w:t>
        </w:r>
      </w:hyperlink>
    </w:p>
    <w:p w14:paraId="79E2BB65" w14:textId="77777777" w:rsidR="000127E1" w:rsidRPr="002900ED" w:rsidRDefault="000127E1" w:rsidP="000127E1">
      <w:pPr>
        <w:numPr>
          <w:ilvl w:val="0"/>
          <w:numId w:val="2"/>
        </w:numPr>
        <w:rPr>
          <w:rFonts w:ascii="Times New Roman" w:hAnsi="Times New Roman" w:cs="Times New Roman"/>
          <w:color w:val="37393C"/>
          <w:sz w:val="24"/>
          <w:szCs w:val="24"/>
          <w:shd w:val="clear" w:color="auto" w:fill="FFFFFF"/>
        </w:rPr>
      </w:pPr>
      <w:r w:rsidRPr="002900ED">
        <w:rPr>
          <w:rFonts w:ascii="Times New Roman" w:hAnsi="Times New Roman" w:cs="Times New Roman"/>
          <w:color w:val="37393C"/>
          <w:sz w:val="24"/>
          <w:szCs w:val="24"/>
          <w:shd w:val="clear" w:color="auto" w:fill="FFFFFF"/>
        </w:rPr>
        <w:t>Dutta, S., Shalini, &amp; Banerjee, S. (2018). Pharmacovigilance in India: A Need of the Hour. 2, 98–100.</w:t>
      </w:r>
    </w:p>
    <w:p w14:paraId="0A3C102D" w14:textId="77777777" w:rsidR="000127E1" w:rsidRPr="002900ED" w:rsidRDefault="000127E1" w:rsidP="000127E1">
      <w:pPr>
        <w:numPr>
          <w:ilvl w:val="0"/>
          <w:numId w:val="2"/>
        </w:numPr>
        <w:rPr>
          <w:rFonts w:ascii="Times New Roman" w:hAnsi="Times New Roman" w:cs="Times New Roman"/>
          <w:color w:val="37393C"/>
          <w:sz w:val="24"/>
          <w:szCs w:val="24"/>
          <w:shd w:val="clear" w:color="auto" w:fill="FFFFFF"/>
        </w:rPr>
      </w:pPr>
      <w:r w:rsidRPr="002900ED">
        <w:rPr>
          <w:rFonts w:ascii="Times New Roman" w:hAnsi="Times New Roman" w:cs="Times New Roman"/>
          <w:color w:val="37393C"/>
          <w:sz w:val="24"/>
          <w:szCs w:val="24"/>
          <w:shd w:val="clear" w:color="auto" w:fill="FFFFFF"/>
        </w:rPr>
        <w:t>Syed  Ruknuddin, G. (1983). History of Pharmacovigilance in India</w:t>
      </w:r>
    </w:p>
    <w:p w14:paraId="3D4532D7" w14:textId="77777777" w:rsidR="000127E1" w:rsidRPr="002900ED" w:rsidRDefault="008756FC" w:rsidP="000127E1">
      <w:pPr>
        <w:numPr>
          <w:ilvl w:val="0"/>
          <w:numId w:val="2"/>
        </w:numPr>
        <w:rPr>
          <w:rFonts w:ascii="Times New Roman" w:hAnsi="Times New Roman" w:cs="Times New Roman"/>
          <w:color w:val="37393C"/>
          <w:sz w:val="24"/>
          <w:szCs w:val="24"/>
          <w:shd w:val="clear" w:color="auto" w:fill="FFFFFF"/>
        </w:rPr>
      </w:pPr>
      <w:hyperlink r:id="rId21" w:history="1">
        <w:r w:rsidR="000127E1" w:rsidRPr="002900ED">
          <w:rPr>
            <w:rStyle w:val="Hyperlink"/>
            <w:rFonts w:ascii="Times New Roman" w:hAnsi="Times New Roman" w:cs="Times New Roman"/>
            <w:sz w:val="24"/>
            <w:szCs w:val="24"/>
          </w:rPr>
          <w:t>Pharmacovigilance in India in Comparison With the USA and European Union: Challenges and Perspectives | Therapeutic Innovation &amp; Regulatory Science (springer.com)</w:t>
        </w:r>
      </w:hyperlink>
    </w:p>
    <w:p w14:paraId="22BC2731" w14:textId="77777777" w:rsidR="000127E1" w:rsidRPr="002900ED" w:rsidRDefault="008756FC" w:rsidP="000127E1">
      <w:pPr>
        <w:numPr>
          <w:ilvl w:val="0"/>
          <w:numId w:val="2"/>
        </w:numPr>
        <w:rPr>
          <w:rFonts w:ascii="Times New Roman" w:hAnsi="Times New Roman" w:cs="Times New Roman"/>
          <w:color w:val="37393C"/>
          <w:sz w:val="24"/>
          <w:szCs w:val="24"/>
          <w:shd w:val="clear" w:color="auto" w:fill="FFFFFF"/>
        </w:rPr>
      </w:pPr>
      <w:hyperlink r:id="rId22" w:history="1">
        <w:r w:rsidR="000127E1" w:rsidRPr="002900ED">
          <w:rPr>
            <w:rStyle w:val="Hyperlink"/>
            <w:rFonts w:ascii="Times New Roman" w:hAnsi="Times New Roman" w:cs="Times New Roman"/>
            <w:sz w:val="24"/>
            <w:szCs w:val="24"/>
          </w:rPr>
          <w:t>Pharmacovigilance responsibilities of medicine sponsors | Therapeutic Goods Administration (TGA)</w:t>
        </w:r>
      </w:hyperlink>
    </w:p>
    <w:p w14:paraId="27384869" w14:textId="77777777" w:rsidR="000127E1" w:rsidRPr="002900ED" w:rsidRDefault="008756FC" w:rsidP="000127E1">
      <w:pPr>
        <w:numPr>
          <w:ilvl w:val="0"/>
          <w:numId w:val="2"/>
        </w:numPr>
        <w:rPr>
          <w:rFonts w:ascii="Times New Roman" w:hAnsi="Times New Roman" w:cs="Times New Roman"/>
          <w:color w:val="37393C"/>
          <w:sz w:val="24"/>
          <w:szCs w:val="24"/>
          <w:shd w:val="clear" w:color="auto" w:fill="FFFFFF"/>
        </w:rPr>
      </w:pPr>
      <w:hyperlink r:id="rId23" w:history="1">
        <w:r w:rsidR="000127E1" w:rsidRPr="002900ED">
          <w:rPr>
            <w:rStyle w:val="Hyperlink"/>
            <w:rFonts w:ascii="Times New Roman" w:hAnsi="Times New Roman" w:cs="Times New Roman"/>
            <w:sz w:val="24"/>
            <w:szCs w:val="24"/>
          </w:rPr>
          <w:t>Pharmacovigilance and expedited drug approvals - Australian Prescriber (tg.org.au)</w:t>
        </w:r>
      </w:hyperlink>
    </w:p>
    <w:p w14:paraId="353EB42B" w14:textId="77777777" w:rsidR="000127E1" w:rsidRPr="002900ED" w:rsidRDefault="008756FC" w:rsidP="000127E1">
      <w:pPr>
        <w:numPr>
          <w:ilvl w:val="0"/>
          <w:numId w:val="2"/>
        </w:numPr>
        <w:rPr>
          <w:rFonts w:ascii="Times New Roman" w:hAnsi="Times New Roman" w:cs="Times New Roman"/>
          <w:color w:val="37393C"/>
          <w:sz w:val="24"/>
          <w:szCs w:val="24"/>
          <w:shd w:val="clear" w:color="auto" w:fill="FFFFFF"/>
        </w:rPr>
      </w:pPr>
      <w:hyperlink r:id="rId24" w:history="1">
        <w:r w:rsidR="000127E1" w:rsidRPr="002900ED">
          <w:rPr>
            <w:rStyle w:val="Hyperlink"/>
            <w:rFonts w:ascii="Times New Roman" w:hAnsi="Times New Roman" w:cs="Times New Roman"/>
            <w:sz w:val="24"/>
            <w:szCs w:val="24"/>
          </w:rPr>
          <w:t>Showing the blue card: reporting adverse reactions - Australian Prescriber (tg.org.au)</w:t>
        </w:r>
      </w:hyperlink>
    </w:p>
    <w:p w14:paraId="4B689B69" w14:textId="77777777" w:rsidR="000127E1" w:rsidRPr="002900ED" w:rsidRDefault="008756FC" w:rsidP="000127E1">
      <w:pPr>
        <w:numPr>
          <w:ilvl w:val="0"/>
          <w:numId w:val="2"/>
        </w:numPr>
        <w:rPr>
          <w:rFonts w:ascii="Times New Roman" w:hAnsi="Times New Roman" w:cs="Times New Roman"/>
          <w:color w:val="37393C"/>
          <w:sz w:val="24"/>
          <w:szCs w:val="24"/>
          <w:shd w:val="clear" w:color="auto" w:fill="FFFFFF"/>
        </w:rPr>
      </w:pPr>
      <w:hyperlink r:id="rId25" w:history="1">
        <w:r w:rsidR="000127E1" w:rsidRPr="002900ED">
          <w:rPr>
            <w:rStyle w:val="Hyperlink"/>
            <w:rFonts w:ascii="Times New Roman" w:hAnsi="Times New Roman" w:cs="Times New Roman"/>
            <w:sz w:val="24"/>
            <w:szCs w:val="24"/>
          </w:rPr>
          <w:t>Safety updates | Therapeutic Goods Administration (TGA)</w:t>
        </w:r>
      </w:hyperlink>
    </w:p>
    <w:p w14:paraId="07AD7B0B" w14:textId="16AECFDA" w:rsidR="000127E1" w:rsidRPr="002900ED" w:rsidRDefault="008756FC" w:rsidP="000127E1">
      <w:pPr>
        <w:numPr>
          <w:ilvl w:val="0"/>
          <w:numId w:val="2"/>
        </w:numPr>
        <w:rPr>
          <w:rFonts w:ascii="Times New Roman" w:hAnsi="Times New Roman" w:cs="Times New Roman"/>
          <w:color w:val="37393C"/>
          <w:sz w:val="24"/>
          <w:szCs w:val="24"/>
          <w:shd w:val="clear" w:color="auto" w:fill="FFFFFF"/>
        </w:rPr>
      </w:pPr>
      <w:hyperlink r:id="rId26" w:history="1">
        <w:r w:rsidR="000127E1" w:rsidRPr="002900ED">
          <w:rPr>
            <w:rStyle w:val="Hyperlink"/>
            <w:rFonts w:ascii="Times New Roman" w:hAnsi="Times New Roman" w:cs="Times New Roman"/>
            <w:sz w:val="24"/>
            <w:szCs w:val="24"/>
            <w:shd w:val="clear" w:color="auto" w:fill="FFFFFF"/>
          </w:rPr>
          <w:t>https://www.tga.gov.au/sites/default/files/2023-08/pharmacovigilance-responsibilities-medicine-sponsors-2023.pdf</w:t>
        </w:r>
      </w:hyperlink>
    </w:p>
    <w:p w14:paraId="35A08AC5" w14:textId="2F1B041F" w:rsidR="000127E1" w:rsidRPr="002900ED" w:rsidRDefault="000127E1" w:rsidP="00CB13D3">
      <w:pPr>
        <w:jc w:val="both"/>
        <w:rPr>
          <w:rFonts w:ascii="Times New Roman" w:hAnsi="Times New Roman" w:cs="Times New Roman"/>
          <w:b/>
          <w:bCs/>
          <w:sz w:val="24"/>
          <w:szCs w:val="24"/>
          <w:vertAlign w:val="superscript"/>
        </w:rPr>
      </w:pPr>
    </w:p>
    <w:sectPr w:rsidR="000127E1" w:rsidRPr="002900ED" w:rsidSect="009248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80AD" w14:textId="77777777" w:rsidR="0092480E" w:rsidRDefault="0092480E" w:rsidP="001A6009">
      <w:pPr>
        <w:spacing w:after="0" w:line="240" w:lineRule="auto"/>
      </w:pPr>
      <w:r>
        <w:separator/>
      </w:r>
    </w:p>
  </w:endnote>
  <w:endnote w:type="continuationSeparator" w:id="0">
    <w:p w14:paraId="4FBEA3EF" w14:textId="77777777" w:rsidR="0092480E" w:rsidRDefault="0092480E" w:rsidP="001A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C5BF4" w14:textId="77777777" w:rsidR="0092480E" w:rsidRDefault="0092480E" w:rsidP="001A6009">
      <w:pPr>
        <w:spacing w:after="0" w:line="240" w:lineRule="auto"/>
      </w:pPr>
      <w:r>
        <w:separator/>
      </w:r>
    </w:p>
  </w:footnote>
  <w:footnote w:type="continuationSeparator" w:id="0">
    <w:p w14:paraId="460229DD" w14:textId="77777777" w:rsidR="0092480E" w:rsidRDefault="0092480E" w:rsidP="001A6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F48FC"/>
    <w:multiLevelType w:val="hybridMultilevel"/>
    <w:tmpl w:val="B0367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4943FDF"/>
    <w:multiLevelType w:val="hybridMultilevel"/>
    <w:tmpl w:val="3F1687FA"/>
    <w:lvl w:ilvl="0" w:tplc="4009000D">
      <w:start w:val="1"/>
      <w:numFmt w:val="bullet"/>
      <w:lvlText w:val=""/>
      <w:lvlJc w:val="left"/>
      <w:pPr>
        <w:ind w:left="835" w:hanging="360"/>
      </w:pPr>
      <w:rPr>
        <w:rFonts w:ascii="Wingdings" w:hAnsi="Wingdings" w:hint="default"/>
      </w:rPr>
    </w:lvl>
    <w:lvl w:ilvl="1" w:tplc="40090003" w:tentative="1">
      <w:start w:val="1"/>
      <w:numFmt w:val="bullet"/>
      <w:lvlText w:val="o"/>
      <w:lvlJc w:val="left"/>
      <w:pPr>
        <w:ind w:left="1555" w:hanging="360"/>
      </w:pPr>
      <w:rPr>
        <w:rFonts w:ascii="Courier New" w:hAnsi="Courier New" w:cs="Courier New" w:hint="default"/>
      </w:rPr>
    </w:lvl>
    <w:lvl w:ilvl="2" w:tplc="40090005" w:tentative="1">
      <w:start w:val="1"/>
      <w:numFmt w:val="bullet"/>
      <w:lvlText w:val=""/>
      <w:lvlJc w:val="left"/>
      <w:pPr>
        <w:ind w:left="2275" w:hanging="360"/>
      </w:pPr>
      <w:rPr>
        <w:rFonts w:ascii="Wingdings" w:hAnsi="Wingdings" w:hint="default"/>
      </w:rPr>
    </w:lvl>
    <w:lvl w:ilvl="3" w:tplc="40090001" w:tentative="1">
      <w:start w:val="1"/>
      <w:numFmt w:val="bullet"/>
      <w:lvlText w:val=""/>
      <w:lvlJc w:val="left"/>
      <w:pPr>
        <w:ind w:left="2995" w:hanging="360"/>
      </w:pPr>
      <w:rPr>
        <w:rFonts w:ascii="Symbol" w:hAnsi="Symbol" w:hint="default"/>
      </w:rPr>
    </w:lvl>
    <w:lvl w:ilvl="4" w:tplc="40090003" w:tentative="1">
      <w:start w:val="1"/>
      <w:numFmt w:val="bullet"/>
      <w:lvlText w:val="o"/>
      <w:lvlJc w:val="left"/>
      <w:pPr>
        <w:ind w:left="3715" w:hanging="360"/>
      </w:pPr>
      <w:rPr>
        <w:rFonts w:ascii="Courier New" w:hAnsi="Courier New" w:cs="Courier New" w:hint="default"/>
      </w:rPr>
    </w:lvl>
    <w:lvl w:ilvl="5" w:tplc="40090005" w:tentative="1">
      <w:start w:val="1"/>
      <w:numFmt w:val="bullet"/>
      <w:lvlText w:val=""/>
      <w:lvlJc w:val="left"/>
      <w:pPr>
        <w:ind w:left="4435" w:hanging="360"/>
      </w:pPr>
      <w:rPr>
        <w:rFonts w:ascii="Wingdings" w:hAnsi="Wingdings" w:hint="default"/>
      </w:rPr>
    </w:lvl>
    <w:lvl w:ilvl="6" w:tplc="40090001" w:tentative="1">
      <w:start w:val="1"/>
      <w:numFmt w:val="bullet"/>
      <w:lvlText w:val=""/>
      <w:lvlJc w:val="left"/>
      <w:pPr>
        <w:ind w:left="5155" w:hanging="360"/>
      </w:pPr>
      <w:rPr>
        <w:rFonts w:ascii="Symbol" w:hAnsi="Symbol" w:hint="default"/>
      </w:rPr>
    </w:lvl>
    <w:lvl w:ilvl="7" w:tplc="40090003" w:tentative="1">
      <w:start w:val="1"/>
      <w:numFmt w:val="bullet"/>
      <w:lvlText w:val="o"/>
      <w:lvlJc w:val="left"/>
      <w:pPr>
        <w:ind w:left="5875" w:hanging="360"/>
      </w:pPr>
      <w:rPr>
        <w:rFonts w:ascii="Courier New" w:hAnsi="Courier New" w:cs="Courier New" w:hint="default"/>
      </w:rPr>
    </w:lvl>
    <w:lvl w:ilvl="8" w:tplc="40090005" w:tentative="1">
      <w:start w:val="1"/>
      <w:numFmt w:val="bullet"/>
      <w:lvlText w:val=""/>
      <w:lvlJc w:val="left"/>
      <w:pPr>
        <w:ind w:left="6595" w:hanging="360"/>
      </w:pPr>
      <w:rPr>
        <w:rFonts w:ascii="Wingdings" w:hAnsi="Wingdings" w:hint="default"/>
      </w:rPr>
    </w:lvl>
  </w:abstractNum>
  <w:num w:numId="1" w16cid:durableId="687222482">
    <w:abstractNumId w:val="1"/>
  </w:num>
  <w:num w:numId="2" w16cid:durableId="82909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6F"/>
    <w:rsid w:val="000002FD"/>
    <w:rsid w:val="00007744"/>
    <w:rsid w:val="000127E1"/>
    <w:rsid w:val="0003075C"/>
    <w:rsid w:val="00037CD3"/>
    <w:rsid w:val="0004052C"/>
    <w:rsid w:val="000B4263"/>
    <w:rsid w:val="000E4843"/>
    <w:rsid w:val="001A6009"/>
    <w:rsid w:val="001C4823"/>
    <w:rsid w:val="002900ED"/>
    <w:rsid w:val="002C1B33"/>
    <w:rsid w:val="002D1191"/>
    <w:rsid w:val="002F2829"/>
    <w:rsid w:val="0033520B"/>
    <w:rsid w:val="00346A5D"/>
    <w:rsid w:val="003A254B"/>
    <w:rsid w:val="003D5DFC"/>
    <w:rsid w:val="003D6CE6"/>
    <w:rsid w:val="0043291C"/>
    <w:rsid w:val="00495613"/>
    <w:rsid w:val="005851C6"/>
    <w:rsid w:val="005E0B8B"/>
    <w:rsid w:val="006124AA"/>
    <w:rsid w:val="006A2846"/>
    <w:rsid w:val="006B4C80"/>
    <w:rsid w:val="00751171"/>
    <w:rsid w:val="007828FE"/>
    <w:rsid w:val="007C1E0C"/>
    <w:rsid w:val="007E2122"/>
    <w:rsid w:val="00802C9B"/>
    <w:rsid w:val="008756FC"/>
    <w:rsid w:val="008B355B"/>
    <w:rsid w:val="008B64D0"/>
    <w:rsid w:val="008B7A51"/>
    <w:rsid w:val="008D36FF"/>
    <w:rsid w:val="0092480E"/>
    <w:rsid w:val="00927A75"/>
    <w:rsid w:val="00942C0D"/>
    <w:rsid w:val="009B296C"/>
    <w:rsid w:val="009F4B19"/>
    <w:rsid w:val="00A046D9"/>
    <w:rsid w:val="00A165A7"/>
    <w:rsid w:val="00A42198"/>
    <w:rsid w:val="00AF1FE4"/>
    <w:rsid w:val="00B62BED"/>
    <w:rsid w:val="00B813D2"/>
    <w:rsid w:val="00BB0569"/>
    <w:rsid w:val="00BB2C92"/>
    <w:rsid w:val="00BD573C"/>
    <w:rsid w:val="00BE25D0"/>
    <w:rsid w:val="00BF296F"/>
    <w:rsid w:val="00C30A64"/>
    <w:rsid w:val="00C527FD"/>
    <w:rsid w:val="00CB13D3"/>
    <w:rsid w:val="00CC45ED"/>
    <w:rsid w:val="00D42111"/>
    <w:rsid w:val="00D97455"/>
    <w:rsid w:val="00DF2685"/>
    <w:rsid w:val="00E00207"/>
    <w:rsid w:val="00EB10E9"/>
    <w:rsid w:val="00EE0764"/>
    <w:rsid w:val="00F47ED3"/>
    <w:rsid w:val="00F6119F"/>
    <w:rsid w:val="00F84E4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A339D"/>
  <w15:chartTrackingRefBased/>
  <w15:docId w15:val="{E948438C-2F54-4529-BD9F-B4C9409B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009"/>
    <w:rPr>
      <w:noProof/>
    </w:rPr>
  </w:style>
  <w:style w:type="paragraph" w:styleId="Footer">
    <w:name w:val="footer"/>
    <w:basedOn w:val="Normal"/>
    <w:link w:val="FooterChar"/>
    <w:uiPriority w:val="99"/>
    <w:unhideWhenUsed/>
    <w:rsid w:val="001A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009"/>
    <w:rPr>
      <w:noProof/>
    </w:rPr>
  </w:style>
  <w:style w:type="paragraph" w:styleId="NormalWeb">
    <w:name w:val="Normal (Web)"/>
    <w:basedOn w:val="Normal"/>
    <w:uiPriority w:val="99"/>
    <w:unhideWhenUsed/>
    <w:rsid w:val="00BE25D0"/>
    <w:pPr>
      <w:spacing w:before="100" w:beforeAutospacing="1" w:after="100" w:afterAutospacing="1" w:line="240" w:lineRule="auto"/>
    </w:pPr>
    <w:rPr>
      <w:rFonts w:ascii="Times New Roman" w:eastAsia="Times New Roman" w:hAnsi="Times New Roman" w:cs="Times New Roman"/>
      <w:noProof w:val="0"/>
      <w:kern w:val="0"/>
      <w:sz w:val="24"/>
      <w:szCs w:val="24"/>
      <w:lang w:eastAsia="en-IN" w:bidi="te-IN"/>
    </w:rPr>
  </w:style>
  <w:style w:type="character" w:styleId="Hyperlink">
    <w:name w:val="Hyperlink"/>
    <w:basedOn w:val="DefaultParagraphFont"/>
    <w:uiPriority w:val="99"/>
    <w:unhideWhenUsed/>
    <w:rsid w:val="000127E1"/>
    <w:rPr>
      <w:color w:val="0563C1" w:themeColor="hyperlink"/>
      <w:u w:val="single"/>
    </w:rPr>
  </w:style>
  <w:style w:type="character" w:styleId="UnresolvedMention">
    <w:name w:val="Unresolved Mention"/>
    <w:basedOn w:val="DefaultParagraphFont"/>
    <w:uiPriority w:val="99"/>
    <w:semiHidden/>
    <w:unhideWhenUsed/>
    <w:rsid w:val="000127E1"/>
    <w:rPr>
      <w:color w:val="605E5C"/>
      <w:shd w:val="clear" w:color="auto" w:fill="E1DFDD"/>
    </w:rPr>
  </w:style>
  <w:style w:type="character" w:styleId="Strong">
    <w:name w:val="Strong"/>
    <w:basedOn w:val="DefaultParagraphFont"/>
    <w:uiPriority w:val="22"/>
    <w:qFormat/>
    <w:rsid w:val="00751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0021">
      <w:bodyDiv w:val="1"/>
      <w:marLeft w:val="0"/>
      <w:marRight w:val="0"/>
      <w:marTop w:val="0"/>
      <w:marBottom w:val="0"/>
      <w:divBdr>
        <w:top w:val="none" w:sz="0" w:space="0" w:color="auto"/>
        <w:left w:val="none" w:sz="0" w:space="0" w:color="auto"/>
        <w:bottom w:val="none" w:sz="0" w:space="0" w:color="auto"/>
        <w:right w:val="none" w:sz="0" w:space="0" w:color="auto"/>
      </w:divBdr>
    </w:div>
    <w:div w:id="126629773">
      <w:bodyDiv w:val="1"/>
      <w:marLeft w:val="0"/>
      <w:marRight w:val="0"/>
      <w:marTop w:val="0"/>
      <w:marBottom w:val="0"/>
      <w:divBdr>
        <w:top w:val="none" w:sz="0" w:space="0" w:color="auto"/>
        <w:left w:val="none" w:sz="0" w:space="0" w:color="auto"/>
        <w:bottom w:val="none" w:sz="0" w:space="0" w:color="auto"/>
        <w:right w:val="none" w:sz="0" w:space="0" w:color="auto"/>
      </w:divBdr>
    </w:div>
    <w:div w:id="204950572">
      <w:bodyDiv w:val="1"/>
      <w:marLeft w:val="0"/>
      <w:marRight w:val="0"/>
      <w:marTop w:val="0"/>
      <w:marBottom w:val="0"/>
      <w:divBdr>
        <w:top w:val="none" w:sz="0" w:space="0" w:color="auto"/>
        <w:left w:val="none" w:sz="0" w:space="0" w:color="auto"/>
        <w:bottom w:val="none" w:sz="0" w:space="0" w:color="auto"/>
        <w:right w:val="none" w:sz="0" w:space="0" w:color="auto"/>
      </w:divBdr>
    </w:div>
    <w:div w:id="369233471">
      <w:bodyDiv w:val="1"/>
      <w:marLeft w:val="0"/>
      <w:marRight w:val="0"/>
      <w:marTop w:val="0"/>
      <w:marBottom w:val="0"/>
      <w:divBdr>
        <w:top w:val="none" w:sz="0" w:space="0" w:color="auto"/>
        <w:left w:val="none" w:sz="0" w:space="0" w:color="auto"/>
        <w:bottom w:val="none" w:sz="0" w:space="0" w:color="auto"/>
        <w:right w:val="none" w:sz="0" w:space="0" w:color="auto"/>
      </w:divBdr>
    </w:div>
    <w:div w:id="372776601">
      <w:bodyDiv w:val="1"/>
      <w:marLeft w:val="0"/>
      <w:marRight w:val="0"/>
      <w:marTop w:val="0"/>
      <w:marBottom w:val="0"/>
      <w:divBdr>
        <w:top w:val="none" w:sz="0" w:space="0" w:color="auto"/>
        <w:left w:val="none" w:sz="0" w:space="0" w:color="auto"/>
        <w:bottom w:val="none" w:sz="0" w:space="0" w:color="auto"/>
        <w:right w:val="none" w:sz="0" w:space="0" w:color="auto"/>
      </w:divBdr>
    </w:div>
    <w:div w:id="397048312">
      <w:bodyDiv w:val="1"/>
      <w:marLeft w:val="0"/>
      <w:marRight w:val="0"/>
      <w:marTop w:val="0"/>
      <w:marBottom w:val="0"/>
      <w:divBdr>
        <w:top w:val="none" w:sz="0" w:space="0" w:color="auto"/>
        <w:left w:val="none" w:sz="0" w:space="0" w:color="auto"/>
        <w:bottom w:val="none" w:sz="0" w:space="0" w:color="auto"/>
        <w:right w:val="none" w:sz="0" w:space="0" w:color="auto"/>
      </w:divBdr>
    </w:div>
    <w:div w:id="434908383">
      <w:bodyDiv w:val="1"/>
      <w:marLeft w:val="0"/>
      <w:marRight w:val="0"/>
      <w:marTop w:val="0"/>
      <w:marBottom w:val="0"/>
      <w:divBdr>
        <w:top w:val="none" w:sz="0" w:space="0" w:color="auto"/>
        <w:left w:val="none" w:sz="0" w:space="0" w:color="auto"/>
        <w:bottom w:val="none" w:sz="0" w:space="0" w:color="auto"/>
        <w:right w:val="none" w:sz="0" w:space="0" w:color="auto"/>
      </w:divBdr>
    </w:div>
    <w:div w:id="460999561">
      <w:bodyDiv w:val="1"/>
      <w:marLeft w:val="0"/>
      <w:marRight w:val="0"/>
      <w:marTop w:val="0"/>
      <w:marBottom w:val="0"/>
      <w:divBdr>
        <w:top w:val="none" w:sz="0" w:space="0" w:color="auto"/>
        <w:left w:val="none" w:sz="0" w:space="0" w:color="auto"/>
        <w:bottom w:val="none" w:sz="0" w:space="0" w:color="auto"/>
        <w:right w:val="none" w:sz="0" w:space="0" w:color="auto"/>
      </w:divBdr>
    </w:div>
    <w:div w:id="549995901">
      <w:bodyDiv w:val="1"/>
      <w:marLeft w:val="0"/>
      <w:marRight w:val="0"/>
      <w:marTop w:val="0"/>
      <w:marBottom w:val="0"/>
      <w:divBdr>
        <w:top w:val="none" w:sz="0" w:space="0" w:color="auto"/>
        <w:left w:val="none" w:sz="0" w:space="0" w:color="auto"/>
        <w:bottom w:val="none" w:sz="0" w:space="0" w:color="auto"/>
        <w:right w:val="none" w:sz="0" w:space="0" w:color="auto"/>
      </w:divBdr>
    </w:div>
    <w:div w:id="551234396">
      <w:bodyDiv w:val="1"/>
      <w:marLeft w:val="0"/>
      <w:marRight w:val="0"/>
      <w:marTop w:val="0"/>
      <w:marBottom w:val="0"/>
      <w:divBdr>
        <w:top w:val="none" w:sz="0" w:space="0" w:color="auto"/>
        <w:left w:val="none" w:sz="0" w:space="0" w:color="auto"/>
        <w:bottom w:val="none" w:sz="0" w:space="0" w:color="auto"/>
        <w:right w:val="none" w:sz="0" w:space="0" w:color="auto"/>
      </w:divBdr>
    </w:div>
    <w:div w:id="794759426">
      <w:bodyDiv w:val="1"/>
      <w:marLeft w:val="0"/>
      <w:marRight w:val="0"/>
      <w:marTop w:val="0"/>
      <w:marBottom w:val="0"/>
      <w:divBdr>
        <w:top w:val="none" w:sz="0" w:space="0" w:color="auto"/>
        <w:left w:val="none" w:sz="0" w:space="0" w:color="auto"/>
        <w:bottom w:val="none" w:sz="0" w:space="0" w:color="auto"/>
        <w:right w:val="none" w:sz="0" w:space="0" w:color="auto"/>
      </w:divBdr>
    </w:div>
    <w:div w:id="845442414">
      <w:bodyDiv w:val="1"/>
      <w:marLeft w:val="0"/>
      <w:marRight w:val="0"/>
      <w:marTop w:val="0"/>
      <w:marBottom w:val="0"/>
      <w:divBdr>
        <w:top w:val="none" w:sz="0" w:space="0" w:color="auto"/>
        <w:left w:val="none" w:sz="0" w:space="0" w:color="auto"/>
        <w:bottom w:val="none" w:sz="0" w:space="0" w:color="auto"/>
        <w:right w:val="none" w:sz="0" w:space="0" w:color="auto"/>
      </w:divBdr>
    </w:div>
    <w:div w:id="960720933">
      <w:bodyDiv w:val="1"/>
      <w:marLeft w:val="0"/>
      <w:marRight w:val="0"/>
      <w:marTop w:val="0"/>
      <w:marBottom w:val="0"/>
      <w:divBdr>
        <w:top w:val="none" w:sz="0" w:space="0" w:color="auto"/>
        <w:left w:val="none" w:sz="0" w:space="0" w:color="auto"/>
        <w:bottom w:val="none" w:sz="0" w:space="0" w:color="auto"/>
        <w:right w:val="none" w:sz="0" w:space="0" w:color="auto"/>
      </w:divBdr>
    </w:div>
    <w:div w:id="1010059954">
      <w:bodyDiv w:val="1"/>
      <w:marLeft w:val="0"/>
      <w:marRight w:val="0"/>
      <w:marTop w:val="0"/>
      <w:marBottom w:val="0"/>
      <w:divBdr>
        <w:top w:val="none" w:sz="0" w:space="0" w:color="auto"/>
        <w:left w:val="none" w:sz="0" w:space="0" w:color="auto"/>
        <w:bottom w:val="none" w:sz="0" w:space="0" w:color="auto"/>
        <w:right w:val="none" w:sz="0" w:space="0" w:color="auto"/>
      </w:divBdr>
    </w:div>
    <w:div w:id="1083989994">
      <w:bodyDiv w:val="1"/>
      <w:marLeft w:val="0"/>
      <w:marRight w:val="0"/>
      <w:marTop w:val="0"/>
      <w:marBottom w:val="0"/>
      <w:divBdr>
        <w:top w:val="none" w:sz="0" w:space="0" w:color="auto"/>
        <w:left w:val="none" w:sz="0" w:space="0" w:color="auto"/>
        <w:bottom w:val="none" w:sz="0" w:space="0" w:color="auto"/>
        <w:right w:val="none" w:sz="0" w:space="0" w:color="auto"/>
      </w:divBdr>
    </w:div>
    <w:div w:id="1117605890">
      <w:bodyDiv w:val="1"/>
      <w:marLeft w:val="0"/>
      <w:marRight w:val="0"/>
      <w:marTop w:val="0"/>
      <w:marBottom w:val="0"/>
      <w:divBdr>
        <w:top w:val="none" w:sz="0" w:space="0" w:color="auto"/>
        <w:left w:val="none" w:sz="0" w:space="0" w:color="auto"/>
        <w:bottom w:val="none" w:sz="0" w:space="0" w:color="auto"/>
        <w:right w:val="none" w:sz="0" w:space="0" w:color="auto"/>
      </w:divBdr>
    </w:div>
    <w:div w:id="1157965301">
      <w:bodyDiv w:val="1"/>
      <w:marLeft w:val="0"/>
      <w:marRight w:val="0"/>
      <w:marTop w:val="0"/>
      <w:marBottom w:val="0"/>
      <w:divBdr>
        <w:top w:val="none" w:sz="0" w:space="0" w:color="auto"/>
        <w:left w:val="none" w:sz="0" w:space="0" w:color="auto"/>
        <w:bottom w:val="none" w:sz="0" w:space="0" w:color="auto"/>
        <w:right w:val="none" w:sz="0" w:space="0" w:color="auto"/>
      </w:divBdr>
    </w:div>
    <w:div w:id="1210994739">
      <w:bodyDiv w:val="1"/>
      <w:marLeft w:val="0"/>
      <w:marRight w:val="0"/>
      <w:marTop w:val="0"/>
      <w:marBottom w:val="0"/>
      <w:divBdr>
        <w:top w:val="none" w:sz="0" w:space="0" w:color="auto"/>
        <w:left w:val="none" w:sz="0" w:space="0" w:color="auto"/>
        <w:bottom w:val="none" w:sz="0" w:space="0" w:color="auto"/>
        <w:right w:val="none" w:sz="0" w:space="0" w:color="auto"/>
      </w:divBdr>
    </w:div>
    <w:div w:id="1275210583">
      <w:bodyDiv w:val="1"/>
      <w:marLeft w:val="0"/>
      <w:marRight w:val="0"/>
      <w:marTop w:val="0"/>
      <w:marBottom w:val="0"/>
      <w:divBdr>
        <w:top w:val="none" w:sz="0" w:space="0" w:color="auto"/>
        <w:left w:val="none" w:sz="0" w:space="0" w:color="auto"/>
        <w:bottom w:val="none" w:sz="0" w:space="0" w:color="auto"/>
        <w:right w:val="none" w:sz="0" w:space="0" w:color="auto"/>
      </w:divBdr>
    </w:div>
    <w:div w:id="1282228291">
      <w:bodyDiv w:val="1"/>
      <w:marLeft w:val="0"/>
      <w:marRight w:val="0"/>
      <w:marTop w:val="0"/>
      <w:marBottom w:val="0"/>
      <w:divBdr>
        <w:top w:val="none" w:sz="0" w:space="0" w:color="auto"/>
        <w:left w:val="none" w:sz="0" w:space="0" w:color="auto"/>
        <w:bottom w:val="none" w:sz="0" w:space="0" w:color="auto"/>
        <w:right w:val="none" w:sz="0" w:space="0" w:color="auto"/>
      </w:divBdr>
    </w:div>
    <w:div w:id="1441678947">
      <w:bodyDiv w:val="1"/>
      <w:marLeft w:val="0"/>
      <w:marRight w:val="0"/>
      <w:marTop w:val="0"/>
      <w:marBottom w:val="0"/>
      <w:divBdr>
        <w:top w:val="none" w:sz="0" w:space="0" w:color="auto"/>
        <w:left w:val="none" w:sz="0" w:space="0" w:color="auto"/>
        <w:bottom w:val="none" w:sz="0" w:space="0" w:color="auto"/>
        <w:right w:val="none" w:sz="0" w:space="0" w:color="auto"/>
      </w:divBdr>
    </w:div>
    <w:div w:id="1539928137">
      <w:bodyDiv w:val="1"/>
      <w:marLeft w:val="0"/>
      <w:marRight w:val="0"/>
      <w:marTop w:val="0"/>
      <w:marBottom w:val="0"/>
      <w:divBdr>
        <w:top w:val="none" w:sz="0" w:space="0" w:color="auto"/>
        <w:left w:val="none" w:sz="0" w:space="0" w:color="auto"/>
        <w:bottom w:val="none" w:sz="0" w:space="0" w:color="auto"/>
        <w:right w:val="none" w:sz="0" w:space="0" w:color="auto"/>
      </w:divBdr>
    </w:div>
    <w:div w:id="1574388131">
      <w:bodyDiv w:val="1"/>
      <w:marLeft w:val="0"/>
      <w:marRight w:val="0"/>
      <w:marTop w:val="0"/>
      <w:marBottom w:val="0"/>
      <w:divBdr>
        <w:top w:val="none" w:sz="0" w:space="0" w:color="auto"/>
        <w:left w:val="none" w:sz="0" w:space="0" w:color="auto"/>
        <w:bottom w:val="none" w:sz="0" w:space="0" w:color="auto"/>
        <w:right w:val="none" w:sz="0" w:space="0" w:color="auto"/>
      </w:divBdr>
    </w:div>
    <w:div w:id="1736122203">
      <w:bodyDiv w:val="1"/>
      <w:marLeft w:val="0"/>
      <w:marRight w:val="0"/>
      <w:marTop w:val="0"/>
      <w:marBottom w:val="0"/>
      <w:divBdr>
        <w:top w:val="none" w:sz="0" w:space="0" w:color="auto"/>
        <w:left w:val="none" w:sz="0" w:space="0" w:color="auto"/>
        <w:bottom w:val="none" w:sz="0" w:space="0" w:color="auto"/>
        <w:right w:val="none" w:sz="0" w:space="0" w:color="auto"/>
      </w:divBdr>
    </w:div>
    <w:div w:id="1782384395">
      <w:bodyDiv w:val="1"/>
      <w:marLeft w:val="0"/>
      <w:marRight w:val="0"/>
      <w:marTop w:val="0"/>
      <w:marBottom w:val="0"/>
      <w:divBdr>
        <w:top w:val="none" w:sz="0" w:space="0" w:color="auto"/>
        <w:left w:val="none" w:sz="0" w:space="0" w:color="auto"/>
        <w:bottom w:val="none" w:sz="0" w:space="0" w:color="auto"/>
        <w:right w:val="none" w:sz="0" w:space="0" w:color="auto"/>
      </w:divBdr>
    </w:div>
    <w:div w:id="1783724408">
      <w:bodyDiv w:val="1"/>
      <w:marLeft w:val="0"/>
      <w:marRight w:val="0"/>
      <w:marTop w:val="0"/>
      <w:marBottom w:val="0"/>
      <w:divBdr>
        <w:top w:val="none" w:sz="0" w:space="0" w:color="auto"/>
        <w:left w:val="none" w:sz="0" w:space="0" w:color="auto"/>
        <w:bottom w:val="none" w:sz="0" w:space="0" w:color="auto"/>
        <w:right w:val="none" w:sz="0" w:space="0" w:color="auto"/>
      </w:divBdr>
    </w:div>
    <w:div w:id="1818721664">
      <w:bodyDiv w:val="1"/>
      <w:marLeft w:val="0"/>
      <w:marRight w:val="0"/>
      <w:marTop w:val="0"/>
      <w:marBottom w:val="0"/>
      <w:divBdr>
        <w:top w:val="none" w:sz="0" w:space="0" w:color="auto"/>
        <w:left w:val="none" w:sz="0" w:space="0" w:color="auto"/>
        <w:bottom w:val="none" w:sz="0" w:space="0" w:color="auto"/>
        <w:right w:val="none" w:sz="0" w:space="0" w:color="auto"/>
      </w:divBdr>
    </w:div>
    <w:div w:id="1907840753">
      <w:bodyDiv w:val="1"/>
      <w:marLeft w:val="0"/>
      <w:marRight w:val="0"/>
      <w:marTop w:val="0"/>
      <w:marBottom w:val="0"/>
      <w:divBdr>
        <w:top w:val="none" w:sz="0" w:space="0" w:color="auto"/>
        <w:left w:val="none" w:sz="0" w:space="0" w:color="auto"/>
        <w:bottom w:val="none" w:sz="0" w:space="0" w:color="auto"/>
        <w:right w:val="none" w:sz="0" w:space="0" w:color="auto"/>
      </w:divBdr>
    </w:div>
    <w:div w:id="2002662176">
      <w:bodyDiv w:val="1"/>
      <w:marLeft w:val="0"/>
      <w:marRight w:val="0"/>
      <w:marTop w:val="0"/>
      <w:marBottom w:val="0"/>
      <w:divBdr>
        <w:top w:val="none" w:sz="0" w:space="0" w:color="auto"/>
        <w:left w:val="none" w:sz="0" w:space="0" w:color="auto"/>
        <w:bottom w:val="none" w:sz="0" w:space="0" w:color="auto"/>
        <w:right w:val="none" w:sz="0" w:space="0" w:color="auto"/>
      </w:divBdr>
    </w:div>
    <w:div w:id="2037534509">
      <w:bodyDiv w:val="1"/>
      <w:marLeft w:val="0"/>
      <w:marRight w:val="0"/>
      <w:marTop w:val="0"/>
      <w:marBottom w:val="0"/>
      <w:divBdr>
        <w:top w:val="none" w:sz="0" w:space="0" w:color="auto"/>
        <w:left w:val="none" w:sz="0" w:space="0" w:color="auto"/>
        <w:bottom w:val="none" w:sz="0" w:space="0" w:color="auto"/>
        <w:right w:val="none" w:sz="0" w:space="0" w:color="auto"/>
      </w:divBdr>
    </w:div>
    <w:div w:id="2038387162">
      <w:bodyDiv w:val="1"/>
      <w:marLeft w:val="0"/>
      <w:marRight w:val="0"/>
      <w:marTop w:val="0"/>
      <w:marBottom w:val="0"/>
      <w:divBdr>
        <w:top w:val="none" w:sz="0" w:space="0" w:color="auto"/>
        <w:left w:val="none" w:sz="0" w:space="0" w:color="auto"/>
        <w:bottom w:val="none" w:sz="0" w:space="0" w:color="auto"/>
        <w:right w:val="none" w:sz="0" w:space="0" w:color="auto"/>
      </w:divBdr>
    </w:div>
    <w:div w:id="20751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who.int/bitstream/handle/10665/42493/a75646.pdf" TargetMode="External"/><Relationship Id="rId13" Type="http://schemas.openxmlformats.org/officeDocument/2006/relationships/hyperlink" Target="https://doi.org/10.22270/jddt.v3i4.619" TargetMode="External"/><Relationship Id="rId18" Type="http://schemas.openxmlformats.org/officeDocument/2006/relationships/hyperlink" Target="https://doi.org/10.22270/jddt.v8i5.1970" TargetMode="External"/><Relationship Id="rId26" Type="http://schemas.openxmlformats.org/officeDocument/2006/relationships/hyperlink" Target="https://www.tga.gov.au/sites/default/files/2023-08/pharmacovigilance-responsibilities-medicine-sponsors-2023.pdf" TargetMode="External"/><Relationship Id="rId3" Type="http://schemas.openxmlformats.org/officeDocument/2006/relationships/styles" Target="styles.xml"/><Relationship Id="rId21" Type="http://schemas.openxmlformats.org/officeDocument/2006/relationships/hyperlink" Target="https://link.springer.com/article/10.1177/2168479018812775" TargetMode="External"/><Relationship Id="rId7" Type="http://schemas.openxmlformats.org/officeDocument/2006/relationships/endnotes" Target="endnotes.xml"/><Relationship Id="rId12" Type="http://schemas.openxmlformats.org/officeDocument/2006/relationships/hyperlink" Target="https://www.who.int/publications/i/item/10665-42493" TargetMode="External"/><Relationship Id="rId17" Type="http://schemas.openxmlformats.org/officeDocument/2006/relationships/hyperlink" Target="https://www.proclinical.com/blogs/2017-8/what-is-pharmacovigilance-and-why-is-it-important" TargetMode="External"/><Relationship Id="rId25" Type="http://schemas.openxmlformats.org/officeDocument/2006/relationships/hyperlink" Target="https://www.tga.gov.au/news/safety-updates" TargetMode="External"/><Relationship Id="rId2" Type="http://schemas.openxmlformats.org/officeDocument/2006/relationships/numbering" Target="numbering.xml"/><Relationship Id="rId16" Type="http://schemas.openxmlformats.org/officeDocument/2006/relationships/hyperlink" Target="https://thepharmadaily.com/courses/pharmacovigilance-tutorials/importance-of-pharmacovigilance" TargetMode="External"/><Relationship Id="rId20" Type="http://schemas.openxmlformats.org/officeDocument/2006/relationships/hyperlink" Target="https://doi.org/10.1007/s40264-018-073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159/ajpcr.2017.v10i1.14797" TargetMode="External"/><Relationship Id="rId24" Type="http://schemas.openxmlformats.org/officeDocument/2006/relationships/hyperlink" Target="https://australianprescriber.tg.org.au/articles/showing-the-blue-card-reporting-adverse-reactions.html" TargetMode="External"/><Relationship Id="rId5" Type="http://schemas.openxmlformats.org/officeDocument/2006/relationships/webSettings" Target="webSettings.xml"/><Relationship Id="rId15" Type="http://schemas.openxmlformats.org/officeDocument/2006/relationships/hyperlink" Target="https://www.who.int/publications/i/item/10665-42493" TargetMode="External"/><Relationship Id="rId23" Type="http://schemas.openxmlformats.org/officeDocument/2006/relationships/hyperlink" Target="https://australianprescriber.tg.org.au/articles/pharmacovigilance-and-expedited-drug-approvals.html" TargetMode="External"/><Relationship Id="rId28" Type="http://schemas.openxmlformats.org/officeDocument/2006/relationships/theme" Target="theme/theme1.xml"/><Relationship Id="rId10" Type="http://schemas.openxmlformats.org/officeDocument/2006/relationships/hyperlink" Target="https://scholar.google.com/scholar_lookup?&amp;title=Detection%20of%20new%20adverse%20drug%20reactions&amp;publication_year=1998&amp;author=Stephens%2CM.&amp;author=Talbot%2CJ.C.C.&amp;author=Routledge%2CP.A" TargetMode="External"/><Relationship Id="rId19" Type="http://schemas.openxmlformats.org/officeDocument/2006/relationships/hyperlink" Target="https://doi.org/10.15226/2476-2431/3/1/00124" TargetMode="External"/><Relationship Id="rId4" Type="http://schemas.openxmlformats.org/officeDocument/2006/relationships/settings" Target="settings.xml"/><Relationship Id="rId9" Type="http://schemas.openxmlformats.org/officeDocument/2006/relationships/hyperlink" Target="https://link.springer.com/article/10.2165/00002018-199921060-00001" TargetMode="External"/><Relationship Id="rId14" Type="http://schemas.openxmlformats.org/officeDocument/2006/relationships/hyperlink" Target="https://doi.org/10.22270/jddt.v3i4.619" TargetMode="External"/><Relationship Id="rId22" Type="http://schemas.openxmlformats.org/officeDocument/2006/relationships/hyperlink" Target="https://www.tga.gov.au/resources/resource/guidance/pharmacovigilance-responsibilities-medicine-sponso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D5ED4-09F3-46B8-A988-0C1D5652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4106</Words>
  <Characters>25872</Characters>
  <Application>Microsoft Office Word</Application>
  <DocSecurity>0</DocSecurity>
  <Lines>433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Bindusahithi</dc:creator>
  <cp:keywords/>
  <dc:description/>
  <cp:lastModifiedBy>maddala bharathi</cp:lastModifiedBy>
  <cp:revision>11</cp:revision>
  <dcterms:created xsi:type="dcterms:W3CDTF">2024-05-23T07:02:00Z</dcterms:created>
  <dcterms:modified xsi:type="dcterms:W3CDTF">2024-05-24T07:15:00Z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04c51b18980d89b050c27e3ec23afa124587b6166631c5141818fad658dc5ef9</vt:lpwstr>
  </property>
</Properties>
</file>