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EBDF" w14:textId="77777777" w:rsidR="00180F06" w:rsidRPr="00FF1B3F" w:rsidRDefault="00180F06" w:rsidP="00940BFE">
      <w:pPr>
        <w:pStyle w:val="Title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1B3F">
        <w:rPr>
          <w:rFonts w:ascii="Times New Roman" w:hAnsi="Times New Roman" w:cs="Times New Roman"/>
          <w:b/>
          <w:bCs/>
        </w:rPr>
        <w:t>Targeted Therapies in Breast Cancer: Mechanisms, Efficacy, and Challenges</w:t>
      </w:r>
    </w:p>
    <w:p w14:paraId="77065633" w14:textId="77777777" w:rsidR="00180F06" w:rsidRPr="00F26DA2" w:rsidRDefault="00180F06" w:rsidP="00940BFE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</w:p>
    <w:p w14:paraId="2CCB332E" w14:textId="77777777" w:rsidR="00180F06" w:rsidRPr="00FF1B3F" w:rsidRDefault="00180F06" w:rsidP="00940BFE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68930F8C" w14:textId="77777777" w:rsidR="00496BF6" w:rsidRPr="00F26DA2" w:rsidRDefault="00496BF6" w:rsidP="003F3345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Targeted therapies have changed the way breast cancer is treated by focusing on molecular weaknesses like HER2, hormone receptors (HR), CDK4/6, PI3K, PARP, and Trop-2. This review examines the fundamental mechanisms, summarizes the key clinical outcomes, and addresses emerging challenges, including drug resistance, toxicity, and cost considerations.</w:t>
      </w:r>
    </w:p>
    <w:p w14:paraId="0B06A9C0" w14:textId="77777777" w:rsidR="00180F06" w:rsidRPr="00FF1B3F" w:rsidRDefault="00180F06" w:rsidP="00940BFE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t>1. Introduction</w:t>
      </w:r>
    </w:p>
    <w:p w14:paraId="5D396FC1" w14:textId="55C55A0C" w:rsidR="00FB54B5" w:rsidRPr="00F26DA2" w:rsidRDefault="00496BF6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 xml:space="preserve">Breast cancer, a heterogeneous disease defined by distinct molecular subtypes (e.g., HR+/HER2−, HER2+, TNBC), remains a substantial global health challenge. In the past ten years, </w:t>
      </w:r>
      <w:r w:rsidR="00E47BC2" w:rsidRPr="00F26DA2">
        <w:rPr>
          <w:rFonts w:ascii="Times New Roman" w:hAnsi="Times New Roman" w:cs="Times New Roman"/>
        </w:rPr>
        <w:t>precision medicine has catalyzed the development of targeted therapies that improve efficacy while minimizing collateral damage to healthy cells</w:t>
      </w:r>
      <w:r w:rsidRPr="00F26DA2">
        <w:rPr>
          <w:rFonts w:ascii="Times New Roman" w:hAnsi="Times New Roman" w:cs="Times New Roman"/>
        </w:rPr>
        <w:t>.</w:t>
      </w:r>
      <w:r w:rsidR="00E659B2" w:rsidRPr="00F26DA2">
        <w:rPr>
          <w:rFonts w:ascii="Times New Roman" w:hAnsi="Times New Roman" w:cs="Times New Roman"/>
        </w:rPr>
        <w:t xml:space="preserve"> </w:t>
      </w:r>
      <w:r w:rsidR="00E659B2" w:rsidRPr="00F26DA2">
        <w:rPr>
          <w:rFonts w:ascii="Times New Roman" w:hAnsi="Times New Roman" w:cs="Times New Roman"/>
        </w:rPr>
        <w:t>(Bose et al., 2022).</w:t>
      </w:r>
    </w:p>
    <w:p w14:paraId="7F812A7B" w14:textId="77777777" w:rsidR="004340B5" w:rsidRPr="00FF1B3F" w:rsidRDefault="004340B5" w:rsidP="00940BFE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t>2. Major Targets and Therapeutic Agents</w:t>
      </w:r>
    </w:p>
    <w:p w14:paraId="700612DD" w14:textId="22174F63" w:rsidR="004340B5" w:rsidRPr="00FF1B3F" w:rsidRDefault="004340B5" w:rsidP="00940BFE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t>2.1 HER2-Directed Therapies</w:t>
      </w:r>
    </w:p>
    <w:p w14:paraId="448B341A" w14:textId="66965164" w:rsidR="00940BFE" w:rsidRPr="00F26DA2" w:rsidRDefault="004340B5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HER2 amplification occurs in 20% to 30% of early-stage breast cancer. Trastuzumab and other monoclonal antibodies bind to HER2, blocking downstream MAPK/PI3K-AKT signaling and inducing G1 arrest (Cameron et al., 2017). Although trastuzumab emtansine (T-DM1) and other ADCs target cytotoxic payloads to HER2-overexpressing cells, pertuzumab enhances this action (Derakhshani et al., 2020).</w:t>
      </w:r>
    </w:p>
    <w:p w14:paraId="4D8A26BE" w14:textId="5BE7E760" w:rsidR="004340B5" w:rsidRPr="00FF1B3F" w:rsidRDefault="004340B5" w:rsidP="00940BFE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t>2.2 CDK4/6 Inhibitors</w:t>
      </w:r>
    </w:p>
    <w:p w14:paraId="47FD2FFF" w14:textId="77777777" w:rsidR="00496BF6" w:rsidRPr="00F26DA2" w:rsidRDefault="004340B5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CDK4/6 inhibitors palbociclib, ribociclib, and abemaciclib, which inhibit the phosphorylation of the retinoblastoma (Rb) protein and halt progression through the cell cycle, are highly useful in treating HR+/HER2− breast cancer (Kang et al., 2025).</w:t>
      </w:r>
    </w:p>
    <w:p w14:paraId="572735D5" w14:textId="77777777" w:rsidR="00D97E7E" w:rsidRPr="00FF1B3F" w:rsidRDefault="00D97E7E" w:rsidP="00940BFE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 PI3K/AKT/mTOR and PARP Inhibitors</w:t>
      </w:r>
    </w:p>
    <w:p w14:paraId="3B3EFEA9" w14:textId="0122CE6C" w:rsidR="00D97E7E" w:rsidRDefault="00D97E7E" w:rsidP="00990A9F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About 35–40% of HR+/HER2− cases have PIK3CA mutations that drive tumor growth. When used in conjunction with CDK4/6 inhibitors, the PIK3K inhibitor inavolisib increased overall survival in patients with PIK3CA mutations by seven months. In BRCA-mutant tumors, PARP inhibitors (such as olaparib and veliparib) take advantage of synthetic lethality.</w:t>
      </w:r>
      <w:bookmarkStart w:id="0" w:name="_Hlk200736447"/>
    </w:p>
    <w:p w14:paraId="74C25C28" w14:textId="26AF7C8C" w:rsidR="000222F0" w:rsidRPr="00FF1B3F" w:rsidRDefault="000222F0" w:rsidP="000222F0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t>2.4 Antibody Drug – Conjugates (ADCs)</w:t>
      </w:r>
    </w:p>
    <w:bookmarkEnd w:id="0"/>
    <w:p w14:paraId="0975D8B8" w14:textId="0997018A" w:rsidR="00CA1F48" w:rsidRDefault="00D97E7E" w:rsidP="00CA1F48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Targeting Trop</w:t>
      </w:r>
      <w:r w:rsidRPr="00F26DA2">
        <w:rPr>
          <w:rFonts w:ascii="Times New Roman" w:hAnsi="Times New Roman" w:cs="Times New Roman"/>
        </w:rPr>
        <w:noBreakHyphen/>
        <w:t>2, new ADCs like datopotamab deruxtecan (Datroway) have demonstrated an eight-week improvement in PFS for patients with metastatic HR+/HER2−.</w:t>
      </w:r>
    </w:p>
    <w:p w14:paraId="3912BCD7" w14:textId="725C12B5" w:rsidR="004D3A58" w:rsidRPr="00FF1B3F" w:rsidRDefault="004D3A58" w:rsidP="004D3A58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B3F">
        <w:rPr>
          <w:rFonts w:ascii="Times New Roman" w:hAnsi="Times New Roman" w:cs="Times New Roman"/>
          <w:b/>
          <w:bCs/>
          <w:sz w:val="28"/>
          <w:szCs w:val="28"/>
        </w:rPr>
        <w:t>2.5 Selective Estrogen Receptor Degraders (SERDs)</w:t>
      </w:r>
    </w:p>
    <w:p w14:paraId="311C1A72" w14:textId="111FA25D" w:rsidR="00D97E7E" w:rsidRPr="00F26DA2" w:rsidRDefault="00D97E7E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A new oral SERD called elacestrant (Orserdu) provides a therapeutic avenue for endocrine-resistant tumors by breaking down mutant ESR1 receptors in advanced ER+/HER2− breast cancer.</w:t>
      </w:r>
    </w:p>
    <w:p w14:paraId="1E2F5AA9" w14:textId="77777777" w:rsidR="00AA6BF5" w:rsidRPr="00BF75BB" w:rsidRDefault="00AA6BF5" w:rsidP="00940BFE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5BB">
        <w:rPr>
          <w:rFonts w:ascii="Times New Roman" w:hAnsi="Times New Roman" w:cs="Times New Roman"/>
          <w:b/>
          <w:bCs/>
          <w:sz w:val="28"/>
          <w:szCs w:val="28"/>
        </w:rPr>
        <w:t>2.6 Emerging Agents</w:t>
      </w:r>
    </w:p>
    <w:p w14:paraId="19B5D7AB" w14:textId="77777777" w:rsidR="00AA6BF5" w:rsidRPr="00F26DA2" w:rsidRDefault="00AA6BF5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For HR+/HER2-advanced cases, Camizestrant, an oral SERD based on liquid biopsy-guided ESR1 mutation detection, has lowered the risk of disease progression by 56%. The FDA has authorized combination regimens of capivasertib, an AKT inhibitor, for HR+/HER2-positive breast cancer.</w:t>
      </w:r>
    </w:p>
    <w:p w14:paraId="6630EE99" w14:textId="5CC4F096" w:rsidR="00110E4F" w:rsidRPr="00F26DA2" w:rsidRDefault="00BF75BB" w:rsidP="00940B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10E4F" w:rsidRPr="00F26DA2">
        <w:rPr>
          <w:rFonts w:ascii="Times New Roman" w:hAnsi="Times New Roman" w:cs="Times New Roman"/>
          <w:noProof/>
        </w:rPr>
        <w:drawing>
          <wp:inline distT="0" distB="0" distL="0" distR="0" wp14:anchorId="11C642A1" wp14:editId="0A4E9FE9">
            <wp:extent cx="5196840" cy="3275965"/>
            <wp:effectExtent l="0" t="0" r="3810" b="635"/>
            <wp:docPr id="333241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41955" name="Picture 3332419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1" cy="3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7F87" w14:textId="77777777" w:rsidR="00AA6BF5" w:rsidRPr="00F07A2A" w:rsidRDefault="00AA6BF5" w:rsidP="00940BFE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2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Mechanisms of Resistance and Management</w:t>
      </w:r>
    </w:p>
    <w:p w14:paraId="036C5808" w14:textId="77777777" w:rsidR="00AA6BF5" w:rsidRPr="00F26DA2" w:rsidRDefault="00AA6BF5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Breast cancers develop by means of mechanisms like ESR1 mutations that lead to resistance to endocrine therapy, Rb loss or Cyclin E amplification that reduces the effectiveness of CDK4/6 inhibitors, and secondary HER2 mutations and tumor heterogeneity (Li &amp; Thirumalai, 2021).</w:t>
      </w:r>
    </w:p>
    <w:p w14:paraId="52ABBA6A" w14:textId="138572E7" w:rsidR="00AA6BF5" w:rsidRPr="00F07A2A" w:rsidRDefault="00AA6BF5" w:rsidP="00F07A2A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2A">
        <w:rPr>
          <w:rFonts w:ascii="Times New Roman" w:hAnsi="Times New Roman" w:cs="Times New Roman"/>
          <w:b/>
          <w:bCs/>
          <w:sz w:val="28"/>
          <w:szCs w:val="28"/>
        </w:rPr>
        <w:t>4. Clinical Efficacy and Patient Outcomes</w:t>
      </w:r>
    </w:p>
    <w:p w14:paraId="2EF8853F" w14:textId="5F46D707" w:rsidR="00AA6BF5" w:rsidRPr="00F26DA2" w:rsidRDefault="00AA6BF5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>PFS and patient quality of life have dramatically improved with CDK4/6 inhibitors (Kang et al., 2025). Survival has been improved with trastuzumab emtansine and dual HER2 targeting. For aggressive subtypes like TNBC, ADCs and immune checkpoint blockers hold promise.</w:t>
      </w:r>
    </w:p>
    <w:p w14:paraId="7CD08B6A" w14:textId="6DD7AB0B" w:rsidR="00636D0D" w:rsidRPr="00F07A2A" w:rsidRDefault="00992D81" w:rsidP="00F07A2A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2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727AB" w:rsidRPr="00F07A2A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2727AB" w:rsidRPr="00F07A2A">
        <w:rPr>
          <w:rFonts w:ascii="Times New Roman" w:hAnsi="Times New Roman" w:cs="Times New Roman"/>
          <w:b/>
          <w:bCs/>
          <w:sz w:val="28"/>
          <w:szCs w:val="28"/>
        </w:rPr>
        <w:t xml:space="preserve">hallenges and Future </w:t>
      </w:r>
      <w:r w:rsidR="00992144" w:rsidRPr="00F07A2A">
        <w:rPr>
          <w:rFonts w:ascii="Times New Roman" w:hAnsi="Times New Roman" w:cs="Times New Roman"/>
          <w:b/>
          <w:bCs/>
          <w:sz w:val="28"/>
          <w:szCs w:val="28"/>
        </w:rPr>
        <w:t>Perspectives</w:t>
      </w:r>
    </w:p>
    <w:p w14:paraId="6A6E8AC6" w14:textId="37CD93A0" w:rsidR="00636D0D" w:rsidRPr="00F26DA2" w:rsidRDefault="007D464E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F26DA2">
        <w:rPr>
          <w:rFonts w:ascii="Times New Roman" w:hAnsi="Times New Roman" w:cs="Times New Roman"/>
        </w:rPr>
        <w:t xml:space="preserve">Major concerns </w:t>
      </w:r>
      <w:r w:rsidR="00636D0D" w:rsidRPr="00F26DA2">
        <w:rPr>
          <w:rFonts w:ascii="Times New Roman" w:hAnsi="Times New Roman" w:cs="Times New Roman"/>
        </w:rPr>
        <w:t>include tumor heterogeneity, toxicities such as hepatotoxicity and cardiotoxicity, cost-effectiveness,</w:t>
      </w:r>
      <w:r w:rsidRPr="00F26DA2">
        <w:rPr>
          <w:rFonts w:ascii="Times New Roman" w:hAnsi="Times New Roman" w:cs="Times New Roman"/>
        </w:rPr>
        <w:t xml:space="preserve"> </w:t>
      </w:r>
      <w:r w:rsidRPr="00F26DA2">
        <w:rPr>
          <w:rFonts w:ascii="Times New Roman" w:hAnsi="Times New Roman" w:cs="Times New Roman"/>
        </w:rPr>
        <w:t>biomarker validation</w:t>
      </w:r>
      <w:r w:rsidR="00636D0D" w:rsidRPr="00F26DA2">
        <w:rPr>
          <w:rFonts w:ascii="Times New Roman" w:hAnsi="Times New Roman" w:cs="Times New Roman"/>
        </w:rPr>
        <w:t xml:space="preserve"> and the need for precision sequencing and adaptive resistance detection protocols.</w:t>
      </w:r>
    </w:p>
    <w:p w14:paraId="3EA3F287" w14:textId="2231DC28" w:rsidR="00CD2690" w:rsidRPr="00F07A2A" w:rsidRDefault="00CD2690" w:rsidP="00940BFE">
      <w:pPr>
        <w:pStyle w:val="Heading2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2A">
        <w:rPr>
          <w:rFonts w:ascii="Times New Roman" w:hAnsi="Times New Roman" w:cs="Times New Roman"/>
          <w:b/>
          <w:bCs/>
          <w:sz w:val="28"/>
          <w:szCs w:val="28"/>
        </w:rPr>
        <w:t>6. Conclusion</w:t>
      </w:r>
    </w:p>
    <w:p w14:paraId="4083A018" w14:textId="1846A4D1" w:rsidR="009F5B6C" w:rsidRPr="009F5B6C" w:rsidRDefault="00BC44FC" w:rsidP="00940BFE">
      <w:pPr>
        <w:spacing w:line="360" w:lineRule="auto"/>
        <w:jc w:val="both"/>
        <w:rPr>
          <w:rFonts w:ascii="Times New Roman" w:hAnsi="Times New Roman" w:cs="Times New Roman"/>
        </w:rPr>
      </w:pPr>
      <w:r w:rsidRPr="00BC44FC">
        <w:rPr>
          <w:rFonts w:ascii="Times New Roman" w:hAnsi="Times New Roman" w:cs="Times New Roman"/>
        </w:rPr>
        <w:t>Targeted treatments have revolutionised the treatment of breast cancer by providing subtype-specific approaches that significantly enhance results. Treatment resistance, toxicity, and medical expenses are still persistent pr</w:t>
      </w:r>
      <w:r w:rsidRPr="00F26DA2">
        <w:rPr>
          <w:rFonts w:ascii="Times New Roman" w:hAnsi="Times New Roman" w:cs="Times New Roman"/>
        </w:rPr>
        <w:t xml:space="preserve">oblems. </w:t>
      </w:r>
      <w:r w:rsidR="009F5B6C" w:rsidRPr="009F5B6C">
        <w:rPr>
          <w:rFonts w:ascii="Times New Roman" w:hAnsi="Times New Roman" w:cs="Times New Roman"/>
        </w:rPr>
        <w:t>To maintain progress, future studies must prioritise liquid-biopsy surveillance, biomarker-driven personalisation, and innovative drug development.</w:t>
      </w:r>
    </w:p>
    <w:p w14:paraId="723D17D3" w14:textId="77777777" w:rsidR="00C37D61" w:rsidRPr="00F07A2A" w:rsidRDefault="00C37D61" w:rsidP="00C37D61">
      <w:pPr>
        <w:pStyle w:val="Head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2A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2CC7E0E8" w14:textId="77777777" w:rsidR="00C37D61" w:rsidRPr="001A4CF1" w:rsidRDefault="00C37D61" w:rsidP="001A4CF1">
      <w:pPr>
        <w:jc w:val="both"/>
        <w:rPr>
          <w:rFonts w:ascii="Times New Roman" w:hAnsi="Times New Roman" w:cs="Times New Roman"/>
        </w:rPr>
      </w:pPr>
      <w:r w:rsidRPr="001A4CF1">
        <w:rPr>
          <w:rFonts w:ascii="Times New Roman" w:hAnsi="Times New Roman" w:cs="Times New Roman"/>
        </w:rPr>
        <w:t>Bose, S., Gupta, R., &amp; Smith, J. (2022). Resistance to next-generation tyrosine kinase inhibitors (TKIs) in HER2-positive breast cancer. Cancer Research, 82(Suppl. 4), P4-01-01. https://doi.org/10.1158/0008-5472.SABCS21-P4-01-01</w:t>
      </w:r>
    </w:p>
    <w:p w14:paraId="0B0BE373" w14:textId="77777777" w:rsidR="00C37D61" w:rsidRPr="001A4CF1" w:rsidRDefault="00C37D61" w:rsidP="001A4CF1">
      <w:pPr>
        <w:jc w:val="both"/>
        <w:rPr>
          <w:rFonts w:ascii="Times New Roman" w:hAnsi="Times New Roman" w:cs="Times New Roman"/>
        </w:rPr>
      </w:pPr>
      <w:r w:rsidRPr="001A4CF1">
        <w:rPr>
          <w:rFonts w:ascii="Times New Roman" w:hAnsi="Times New Roman" w:cs="Times New Roman"/>
        </w:rPr>
        <w:t>Cameron, D., Piccart-Gebhart, M. J., &amp; Swain, S. M. (2017). Trastuzumab for early-stage, HER2-positive breast cancer. The Lancet Oncology. https://doi.org/10.1016/S1470-2045(17)30427-6</w:t>
      </w:r>
    </w:p>
    <w:p w14:paraId="62216AF9" w14:textId="77777777" w:rsidR="00C37D61" w:rsidRPr="001A4CF1" w:rsidRDefault="00C37D61" w:rsidP="001A4CF1">
      <w:pPr>
        <w:jc w:val="both"/>
        <w:rPr>
          <w:rFonts w:ascii="Times New Roman" w:hAnsi="Times New Roman" w:cs="Times New Roman"/>
        </w:rPr>
      </w:pPr>
      <w:r w:rsidRPr="001A4CF1">
        <w:rPr>
          <w:rFonts w:ascii="Times New Roman" w:hAnsi="Times New Roman" w:cs="Times New Roman"/>
        </w:rPr>
        <w:t>Derakhshani, A., Chen, X., &amp; Lee, C. (2020). Overcoming trastuzumab resistance. Journal of Cellular Physiology, 235(5), 3142–3156. https://doi.org/10.1002/jcp.29225</w:t>
      </w:r>
    </w:p>
    <w:p w14:paraId="3711B523" w14:textId="77777777" w:rsidR="00C37D61" w:rsidRPr="001A4CF1" w:rsidRDefault="00C37D61" w:rsidP="001A4CF1">
      <w:pPr>
        <w:jc w:val="both"/>
        <w:rPr>
          <w:rFonts w:ascii="Times New Roman" w:hAnsi="Times New Roman" w:cs="Times New Roman"/>
        </w:rPr>
      </w:pPr>
      <w:r w:rsidRPr="001A4CF1">
        <w:rPr>
          <w:rFonts w:ascii="Times New Roman" w:hAnsi="Times New Roman" w:cs="Times New Roman"/>
        </w:rPr>
        <w:lastRenderedPageBreak/>
        <w:t>Guarneri, V., Conte, P., &amp; Zamagni, C. (2015). Prospective biomarker analysis of the CHER-LOB study. The Oncologist, 20(9), 1001–1010. https://doi.org/10.1634/theoncologist.2015-0171</w:t>
      </w:r>
    </w:p>
    <w:p w14:paraId="3D5EE205" w14:textId="77777777" w:rsidR="00C37D61" w:rsidRPr="001A4CF1" w:rsidRDefault="00C37D61" w:rsidP="001A4CF1">
      <w:pPr>
        <w:jc w:val="both"/>
        <w:rPr>
          <w:rFonts w:ascii="Times New Roman" w:hAnsi="Times New Roman" w:cs="Times New Roman"/>
        </w:rPr>
      </w:pPr>
      <w:r w:rsidRPr="001A4CF1">
        <w:rPr>
          <w:rFonts w:ascii="Times New Roman" w:hAnsi="Times New Roman" w:cs="Times New Roman"/>
        </w:rPr>
        <w:t>Kang, Y., Han, B., &amp; Kong, Y. (2025). CDK4/6 inhibitors for HR+/HER2– breast cancer: A network meta-analysis. BMC Cancer, 25, 843. https://doi.org/10.1186/s12885-025-11259-1</w:t>
      </w:r>
    </w:p>
    <w:p w14:paraId="7C11BFA4" w14:textId="77777777" w:rsidR="00C37D61" w:rsidRPr="001A4CF1" w:rsidRDefault="00C37D61" w:rsidP="001A4CF1">
      <w:pPr>
        <w:jc w:val="both"/>
        <w:rPr>
          <w:rFonts w:ascii="Times New Roman" w:hAnsi="Times New Roman" w:cs="Times New Roman"/>
        </w:rPr>
      </w:pPr>
      <w:r w:rsidRPr="001A4CF1">
        <w:rPr>
          <w:rFonts w:ascii="Times New Roman" w:hAnsi="Times New Roman" w:cs="Times New Roman"/>
        </w:rPr>
        <w:t>Li, X., &amp; Thirumalai, D. (2021). A mathematical model for phenotypic heterogeneity in breast cancer. arXiv. https://arxiv.org/abs/2108.06079</w:t>
      </w:r>
    </w:p>
    <w:p w14:paraId="4FF1F103" w14:textId="77777777" w:rsidR="00C37D61" w:rsidRPr="001A4CF1" w:rsidRDefault="00C37D61" w:rsidP="001A4CF1">
      <w:pPr>
        <w:jc w:val="both"/>
        <w:rPr>
          <w:rFonts w:ascii="Times New Roman" w:hAnsi="Times New Roman" w:cs="Times New Roman"/>
        </w:rPr>
      </w:pPr>
      <w:r w:rsidRPr="001A4CF1">
        <w:rPr>
          <w:rFonts w:ascii="Times New Roman" w:hAnsi="Times New Roman" w:cs="Times New Roman"/>
          <w:lang w:val="de-DE"/>
        </w:rPr>
        <w:t xml:space="preserve">Liu, Y., Guo, L., Kappel, A., et al. </w:t>
      </w:r>
      <w:r w:rsidRPr="001A4CF1">
        <w:rPr>
          <w:rFonts w:ascii="Times New Roman" w:hAnsi="Times New Roman" w:cs="Times New Roman"/>
        </w:rPr>
        <w:t>(2024). Efficacy and safety of CDK4/6 inhibitors in HR+ breast cancer: A meta-analysis. Frontiers in Pharmacology, 15, 1369420. https://doi.org/10.3389/fphar.2024.1369420</w:t>
      </w:r>
    </w:p>
    <w:p w14:paraId="0F1C9BE1" w14:textId="77777777" w:rsidR="004340B5" w:rsidRPr="001A4CF1" w:rsidRDefault="004340B5" w:rsidP="001A4CF1">
      <w:pPr>
        <w:jc w:val="both"/>
        <w:rPr>
          <w:rFonts w:ascii="Times New Roman" w:hAnsi="Times New Roman" w:cs="Times New Roman"/>
        </w:rPr>
      </w:pPr>
    </w:p>
    <w:sectPr w:rsidR="004340B5" w:rsidRPr="001A4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B7DEB"/>
    <w:multiLevelType w:val="hybridMultilevel"/>
    <w:tmpl w:val="B74A07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0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F6"/>
    <w:rsid w:val="000222F0"/>
    <w:rsid w:val="00110E4F"/>
    <w:rsid w:val="00180F06"/>
    <w:rsid w:val="001A4CF1"/>
    <w:rsid w:val="002727AB"/>
    <w:rsid w:val="003F3345"/>
    <w:rsid w:val="00420FA1"/>
    <w:rsid w:val="004340B5"/>
    <w:rsid w:val="00496BF6"/>
    <w:rsid w:val="004D3A58"/>
    <w:rsid w:val="00507FBC"/>
    <w:rsid w:val="00636D0D"/>
    <w:rsid w:val="007D464E"/>
    <w:rsid w:val="00923637"/>
    <w:rsid w:val="00940BFE"/>
    <w:rsid w:val="00990A9F"/>
    <w:rsid w:val="00992144"/>
    <w:rsid w:val="00992D81"/>
    <w:rsid w:val="009D50E1"/>
    <w:rsid w:val="009F5B6C"/>
    <w:rsid w:val="00A24E8F"/>
    <w:rsid w:val="00AA6BF5"/>
    <w:rsid w:val="00B1415C"/>
    <w:rsid w:val="00B54188"/>
    <w:rsid w:val="00BC44FC"/>
    <w:rsid w:val="00BF75BB"/>
    <w:rsid w:val="00C37D61"/>
    <w:rsid w:val="00CA1F48"/>
    <w:rsid w:val="00CC78E1"/>
    <w:rsid w:val="00CD2690"/>
    <w:rsid w:val="00D97E7E"/>
    <w:rsid w:val="00E47BC2"/>
    <w:rsid w:val="00E659B2"/>
    <w:rsid w:val="00EF2CF7"/>
    <w:rsid w:val="00F07A2A"/>
    <w:rsid w:val="00F26DA2"/>
    <w:rsid w:val="00F57D22"/>
    <w:rsid w:val="00F77DEC"/>
    <w:rsid w:val="00FB54B5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9976"/>
  <w15:chartTrackingRefBased/>
  <w15:docId w15:val="{AAE9E2C9-CFE1-4B8A-9CCC-F36A894D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C07E-A609-4170-A1CE-D8D0B551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Reddy</dc:creator>
  <cp:keywords/>
  <dc:description/>
  <cp:lastModifiedBy>Harsha Vardhan Reddy</cp:lastModifiedBy>
  <cp:revision>32</cp:revision>
  <dcterms:created xsi:type="dcterms:W3CDTF">2025-06-13T13:33:00Z</dcterms:created>
  <dcterms:modified xsi:type="dcterms:W3CDTF">2025-06-14T12:07:00Z</dcterms:modified>
</cp:coreProperties>
</file>