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firstLine="0"/>
        <w:jc w:val="center"/>
        <w:rPr>
          <w:b/>
          <w:bCs/>
          <w:sz w:val="36"/>
          <w:szCs w:val="32"/>
        </w:rPr>
      </w:pPr>
      <w:r>
        <w:rPr>
          <w:b/>
          <w:bCs/>
          <w:sz w:val="36"/>
          <w:szCs w:val="32"/>
        </w:rPr>
        <w:t>Assessment of SGLT2 inhibitors effect On Hemoglobin levels at</w:t>
      </w:r>
      <w:r>
        <w:rPr>
          <w:b/>
          <w:bCs/>
          <w:sz w:val="36"/>
          <w:szCs w:val="32"/>
        </w:rPr>
        <w:t xml:space="preserve"> Diabetic outpatients of </w:t>
      </w:r>
      <w:r>
        <w:rPr>
          <w:b/>
          <w:bCs/>
          <w:sz w:val="36"/>
          <w:szCs w:val="32"/>
        </w:rPr>
        <w:t>Sohag</w:t>
      </w:r>
      <w:r>
        <w:rPr>
          <w:b/>
          <w:bCs/>
          <w:sz w:val="36"/>
          <w:szCs w:val="32"/>
        </w:rPr>
        <w:t xml:space="preserve"> Health Insurance B</w:t>
      </w:r>
      <w:r>
        <w:rPr>
          <w:b/>
          <w:bCs/>
          <w:sz w:val="36"/>
          <w:szCs w:val="32"/>
        </w:rPr>
        <w:t>ranch Clinics</w:t>
      </w:r>
    </w:p>
    <w:p>
      <w:pPr>
        <w:pStyle w:val="style0"/>
        <w:ind w:firstLine="0"/>
        <w:jc w:val="center"/>
        <w:rPr>
          <w:b/>
          <w:bCs/>
          <w:sz w:val="36"/>
          <w:szCs w:val="32"/>
        </w:rPr>
      </w:pPr>
    </w:p>
    <w:tbl>
      <w:tblPr>
        <w:tblStyle w:val="style154"/>
        <w:tblW w:w="0" w:type="auto"/>
        <w:shd w:val="clear" w:color="auto" w:fill="c5e0b3"/>
        <w:tblLook w:val="04A0" w:firstRow="1" w:lastRow="0" w:firstColumn="1" w:lastColumn="0" w:noHBand="0" w:noVBand="1"/>
      </w:tblPr>
      <w:tblGrid>
        <w:gridCol w:w="8630"/>
      </w:tblGrid>
      <w:tr>
        <w:trPr/>
        <w:tc>
          <w:tcPr>
            <w:tcW w:w="8630" w:type="dxa"/>
            <w:tcBorders/>
            <w:shd w:val="clear" w:color="auto" w:fill="c5e0b3"/>
          </w:tcPr>
          <w:p>
            <w:pPr>
              <w:pStyle w:val="style0"/>
              <w:spacing w:after="200" w:lineRule="auto" w:line="360"/>
              <w:ind w:firstLine="0"/>
              <w:rPr>
                <w:b/>
                <w:bCs/>
                <w:sz w:val="20"/>
                <w:szCs w:val="20"/>
              </w:rPr>
            </w:pPr>
            <w:r>
              <w:rPr>
                <w:b/>
                <w:bCs/>
                <w:sz w:val="22"/>
              </w:rPr>
              <w:t xml:space="preserve">Abstract: </w:t>
            </w:r>
            <w:r>
              <w:rPr>
                <w:sz w:val="20"/>
                <w:szCs w:val="20"/>
              </w:rPr>
              <w:t xml:space="preserve">This observational study aimed to evaluate the effect of </w:t>
            </w:r>
            <w:r>
              <w:rPr>
                <w:sz w:val="20"/>
                <w:szCs w:val="20"/>
              </w:rPr>
              <w:t>Dapagliflozin</w:t>
            </w:r>
            <w:r>
              <w:rPr>
                <w:sz w:val="20"/>
                <w:szCs w:val="20"/>
              </w:rPr>
              <w:t xml:space="preserve"> on hemoglobin levels in patients with Type 2 diabetes mellitus (T2DM), both with and without comorbid cardiovascular or renal diseases. The study included 116 T2DM patients, 86 of whom had T2DM alone and 30 had T2DM with comorbidities, all treated with </w:t>
            </w:r>
            <w:r>
              <w:rPr>
                <w:sz w:val="20"/>
                <w:szCs w:val="20"/>
              </w:rPr>
              <w:t>Dapagliflozin</w:t>
            </w:r>
            <w:r>
              <w:rPr>
                <w:sz w:val="20"/>
                <w:szCs w:val="20"/>
              </w:rPr>
              <w:t xml:space="preserve"> for at least six months. Demographic, clinical, and laboratory data </w:t>
            </w:r>
            <w:r>
              <w:rPr>
                <w:sz w:val="20"/>
                <w:szCs w:val="20"/>
              </w:rPr>
              <w:t>were collected</w:t>
            </w:r>
            <w:r>
              <w:rPr>
                <w:sz w:val="20"/>
                <w:szCs w:val="20"/>
              </w:rPr>
              <w:t xml:space="preserve"> at baseline and after treatment. Hemoglobin levels significantly increased in both groups: the T2DM-only group rose from 13.3 ± 1.8 g/</w:t>
            </w:r>
            <w:r>
              <w:rPr>
                <w:sz w:val="20"/>
                <w:szCs w:val="20"/>
              </w:rPr>
              <w:t>dL</w:t>
            </w:r>
            <w:r>
              <w:rPr>
                <w:sz w:val="20"/>
                <w:szCs w:val="20"/>
              </w:rPr>
              <w:t xml:space="preserve"> to 13.8 ± 1.5 g/</w:t>
            </w:r>
            <w:r>
              <w:rPr>
                <w:sz w:val="20"/>
                <w:szCs w:val="20"/>
              </w:rPr>
              <w:t>dL</w:t>
            </w:r>
            <w:r>
              <w:rPr>
                <w:sz w:val="20"/>
                <w:szCs w:val="20"/>
              </w:rPr>
              <w:t xml:space="preserve"> (p &lt; 0.001), while the T2DM with comorbidity group increased from 12.8 ± 1.6 g/</w:t>
            </w:r>
            <w:r>
              <w:rPr>
                <w:sz w:val="20"/>
                <w:szCs w:val="20"/>
              </w:rPr>
              <w:t>dL</w:t>
            </w:r>
            <w:r>
              <w:rPr>
                <w:sz w:val="20"/>
                <w:szCs w:val="20"/>
              </w:rPr>
              <w:t xml:space="preserve"> to 13.2 ± 1.8 g/</w:t>
            </w:r>
            <w:r>
              <w:rPr>
                <w:sz w:val="20"/>
                <w:szCs w:val="20"/>
              </w:rPr>
              <w:t>dL</w:t>
            </w:r>
            <w:r>
              <w:rPr>
                <w:sz w:val="20"/>
                <w:szCs w:val="20"/>
              </w:rPr>
              <w:t xml:space="preserve"> (p = 0.042). Glycemic control, measured by HbA1c, improved significantly in both groups, with the T2DM-only group showing a reduction from 8.1% ± 1.2% to 7.3% ± 1.0% (p &lt; 0.001), and the T2DM with comorbidity group decreasing from 8.5% ± 1.3% to 7.7% ± 1.1% (p = 0.03). However, patients with comorbidities experienced more adverse events, including dehydration (60% vs. 34.9%, p = 0.018) and diabetic ketoacidosis (DKA) (6.7% vs. 0%, p = 0.016). No significant differences in kidney function markers (creatinine, urea) </w:t>
            </w:r>
            <w:r>
              <w:rPr>
                <w:sz w:val="20"/>
                <w:szCs w:val="20"/>
              </w:rPr>
              <w:t>were observed</w:t>
            </w:r>
            <w:r>
              <w:rPr>
                <w:sz w:val="20"/>
                <w:szCs w:val="20"/>
              </w:rPr>
              <w:t xml:space="preserve"> between the groups. Lipid profiles also improved, with total cholesterol decreasing by 15% in both groups. Overall, </w:t>
            </w:r>
            <w:r>
              <w:rPr>
                <w:sz w:val="20"/>
                <w:szCs w:val="20"/>
              </w:rPr>
              <w:t>Dapagliflozin</w:t>
            </w:r>
            <w:r>
              <w:rPr>
                <w:sz w:val="20"/>
                <w:szCs w:val="20"/>
              </w:rPr>
              <w:t xml:space="preserve"> improved hemoglobin levels, glycemic control, and lipid profiles in T2DM patients, with better outcomes in the T2DM-only group, though patients with comorbidities faced higher rates of adverse events, particularly dehydration and DKA.</w:t>
            </w:r>
          </w:p>
          <w:p>
            <w:pPr>
              <w:pStyle w:val="style0"/>
              <w:spacing w:after="200" w:lineRule="auto" w:line="360"/>
              <w:ind w:firstLine="0"/>
              <w:rPr>
                <w:b/>
                <w:bCs/>
                <w:sz w:val="20"/>
                <w:szCs w:val="20"/>
              </w:rPr>
            </w:pPr>
            <w:r>
              <w:rPr>
                <w:b/>
                <w:bCs/>
                <w:sz w:val="22"/>
              </w:rPr>
              <w:t xml:space="preserve">Keywords: </w:t>
            </w:r>
            <w:r>
              <w:rPr>
                <w:sz w:val="20"/>
                <w:szCs w:val="20"/>
              </w:rPr>
              <w:t>Dapagliflozin</w:t>
            </w:r>
            <w:r>
              <w:rPr>
                <w:sz w:val="20"/>
                <w:szCs w:val="20"/>
              </w:rPr>
              <w:t>, Type 2 Diabetes Mellitus, Hemoglobin, Cardiovascular Disease, Renal Impairment, SGLT2 Inhibitors</w:t>
            </w:r>
          </w:p>
          <w:p>
            <w:pPr>
              <w:pStyle w:val="style0"/>
              <w:ind w:firstLine="0"/>
              <w:rPr>
                <w:b/>
                <w:bCs/>
                <w:sz w:val="20"/>
                <w:szCs w:val="20"/>
              </w:rPr>
            </w:pPr>
          </w:p>
        </w:tc>
      </w:tr>
    </w:tbl>
    <w:p>
      <w:pPr>
        <w:pStyle w:val="style0"/>
        <w:ind w:firstLine="0"/>
        <w:rPr>
          <w:b/>
          <w:bCs/>
          <w:sz w:val="20"/>
          <w:szCs w:val="20"/>
        </w:rPr>
      </w:pPr>
    </w:p>
    <w:p>
      <w:pPr>
        <w:pStyle w:val="style0"/>
        <w:ind w:firstLine="0"/>
        <w:rPr>
          <w:sz w:val="20"/>
          <w:szCs w:val="20"/>
        </w:rPr>
      </w:pPr>
    </w:p>
    <w:p>
      <w:pPr>
        <w:pStyle w:val="style0"/>
        <w:ind w:firstLine="0"/>
        <w:rPr>
          <w:sz w:val="20"/>
          <w:szCs w:val="20"/>
        </w:rPr>
      </w:pPr>
    </w:p>
    <w:p>
      <w:pPr>
        <w:pStyle w:val="style0"/>
        <w:ind w:firstLine="0"/>
        <w:rPr>
          <w:sz w:val="20"/>
          <w:szCs w:val="20"/>
        </w:rPr>
      </w:pPr>
    </w:p>
    <w:p>
      <w:pPr>
        <w:pStyle w:val="style0"/>
        <w:ind w:firstLine="0"/>
        <w:rPr>
          <w:sz w:val="20"/>
          <w:szCs w:val="20"/>
        </w:rPr>
      </w:pPr>
    </w:p>
    <w:p>
      <w:pPr>
        <w:pStyle w:val="style0"/>
        <w:ind w:firstLine="0"/>
        <w:rPr>
          <w:sz w:val="20"/>
          <w:szCs w:val="20"/>
        </w:rPr>
      </w:pPr>
    </w:p>
    <w:p>
      <w:pPr>
        <w:pStyle w:val="style179"/>
        <w:numPr>
          <w:ilvl w:val="0"/>
          <w:numId w:val="1"/>
        </w:numPr>
        <w:ind w:left="360" w:firstLine="0"/>
        <w:jc w:val="center"/>
        <w:rPr>
          <w:b/>
          <w:bCs/>
          <w:sz w:val="22"/>
        </w:rPr>
      </w:pPr>
      <w:r>
        <w:rPr>
          <w:b/>
          <w:bCs/>
          <w:sz w:val="22"/>
        </w:rPr>
        <w:t>INTRODUCTION</w:t>
      </w:r>
    </w:p>
    <w:p>
      <w:pPr>
        <w:pStyle w:val="style0"/>
        <w:rPr>
          <w:sz w:val="20"/>
          <w:szCs w:val="20"/>
        </w:rPr>
      </w:pPr>
    </w:p>
    <w:p>
      <w:pPr>
        <w:pStyle w:val="style0"/>
        <w:rPr>
          <w:sz w:val="20"/>
          <w:szCs w:val="20"/>
        </w:rPr>
      </w:pPr>
      <w:r>
        <w:rPr>
          <w:sz w:val="20"/>
          <w:szCs w:val="20"/>
        </w:rPr>
        <w:t xml:space="preserve">Diabetes mellitus (DM) is a widespread chronic illness that poses significant health risks worldwide. According to the World Health Organization (WHO), more than 400 million individuals across the globe are living with diabetes, and this figure </w:t>
      </w:r>
      <w:r>
        <w:rPr>
          <w:sz w:val="20"/>
          <w:szCs w:val="20"/>
        </w:rPr>
        <w:t>is expected</w:t>
      </w:r>
      <w:r>
        <w:rPr>
          <w:sz w:val="20"/>
          <w:szCs w:val="20"/>
        </w:rPr>
        <w:t xml:space="preserve"> to continue rising in the future </w:t>
      </w:r>
      <w:r>
        <w:rPr>
          <w:sz w:val="20"/>
          <w:szCs w:val="20"/>
          <w:vertAlign w:val="superscript"/>
        </w:rPr>
        <w:t>[1]</w:t>
      </w:r>
      <w:r>
        <w:rPr>
          <w:sz w:val="20"/>
          <w:szCs w:val="20"/>
        </w:rPr>
        <w:t xml:space="preserve">. Managing diabetes effectively is essential not only for regulating blood sugar but also for preventing complications such as cardiovascular disease, kidney damage, and anemia. Recent developments in treatment, particularly the introduction of Sodium-Glucose Co-Transporter 2 (SGLT2) inhibitors, have greatly advanced the management of type 2 diabetes (T2DM). Medications like </w:t>
      </w:r>
      <w:r>
        <w:rPr>
          <w:sz w:val="20"/>
          <w:szCs w:val="20"/>
        </w:rPr>
        <w:t>empagliflozin</w:t>
      </w:r>
      <w:r>
        <w:rPr>
          <w:sz w:val="20"/>
          <w:szCs w:val="20"/>
        </w:rPr>
        <w:t xml:space="preserve">, </w:t>
      </w:r>
      <w:r>
        <w:rPr>
          <w:sz w:val="20"/>
          <w:szCs w:val="20"/>
        </w:rPr>
        <w:t>dapagliflozin</w:t>
      </w:r>
      <w:r>
        <w:rPr>
          <w:sz w:val="20"/>
          <w:szCs w:val="20"/>
        </w:rPr>
        <w:t xml:space="preserve">, and </w:t>
      </w:r>
      <w:r>
        <w:rPr>
          <w:sz w:val="20"/>
          <w:szCs w:val="20"/>
        </w:rPr>
        <w:t>canagliflozin</w:t>
      </w:r>
      <w:r>
        <w:rPr>
          <w:sz w:val="20"/>
          <w:szCs w:val="20"/>
        </w:rPr>
        <w:t xml:space="preserve"> have shown significant effectiveness in lowering glucose levels while providing additional benefits for the heart and kidneys </w:t>
      </w:r>
      <w:r>
        <w:rPr>
          <w:sz w:val="20"/>
          <w:szCs w:val="20"/>
          <w:vertAlign w:val="superscript"/>
        </w:rPr>
        <w:t>[2]</w:t>
      </w:r>
      <w:r>
        <w:rPr>
          <w:sz w:val="20"/>
          <w:szCs w:val="20"/>
        </w:rPr>
        <w:t>.</w:t>
      </w:r>
    </w:p>
    <w:p>
      <w:pPr>
        <w:pStyle w:val="style0"/>
        <w:rPr>
          <w:sz w:val="20"/>
          <w:szCs w:val="20"/>
        </w:rPr>
      </w:pPr>
      <w:r>
        <w:rPr>
          <w:sz w:val="20"/>
          <w:szCs w:val="20"/>
        </w:rPr>
        <w:t xml:space="preserve">In addition to their glucose-lowering properties, SGLT2 inhibitors </w:t>
      </w:r>
      <w:r>
        <w:rPr>
          <w:sz w:val="20"/>
          <w:szCs w:val="20"/>
        </w:rPr>
        <w:t>have been found</w:t>
      </w:r>
      <w:r>
        <w:rPr>
          <w:sz w:val="20"/>
          <w:szCs w:val="20"/>
        </w:rPr>
        <w:t xml:space="preserve"> to influence various metabolic processes, including those involved in red blood cell production and hemoglobin (</w:t>
      </w:r>
      <w:r>
        <w:rPr>
          <w:sz w:val="20"/>
          <w:szCs w:val="20"/>
        </w:rPr>
        <w:t>Hb</w:t>
      </w:r>
      <w:r>
        <w:rPr>
          <w:sz w:val="20"/>
          <w:szCs w:val="20"/>
        </w:rPr>
        <w:t xml:space="preserve">) levels. Although their primary action is to inhibit glucose reabsorption in the kidneys, which results in increased glucose excretion through urine, they also exert indirect effects on erythropoiesis </w:t>
      </w:r>
      <w:r>
        <w:rPr>
          <w:sz w:val="20"/>
          <w:szCs w:val="20"/>
          <w:vertAlign w:val="superscript"/>
        </w:rPr>
        <w:t>[3]</w:t>
      </w:r>
      <w:r>
        <w:rPr>
          <w:sz w:val="20"/>
          <w:szCs w:val="20"/>
        </w:rPr>
        <w:t xml:space="preserve">. Research suggests that these drugs may slightly reduce hemoglobin levels in some individuals, potentially due to a combination of factors such as </w:t>
      </w:r>
      <w:r>
        <w:rPr>
          <w:sz w:val="20"/>
          <w:szCs w:val="20"/>
        </w:rPr>
        <w:t>hemoconcentration</w:t>
      </w:r>
      <w:r>
        <w:rPr>
          <w:sz w:val="20"/>
          <w:szCs w:val="20"/>
        </w:rPr>
        <w:t xml:space="preserve">, fluid balance alterations, and increased erythropoietin secretion in response to volume contraction </w:t>
      </w:r>
      <w:r>
        <w:rPr>
          <w:sz w:val="20"/>
          <w:szCs w:val="20"/>
          <w:vertAlign w:val="superscript"/>
        </w:rPr>
        <w:t>[4]</w:t>
      </w:r>
      <w:r>
        <w:rPr>
          <w:sz w:val="20"/>
          <w:szCs w:val="20"/>
        </w:rPr>
        <w:t xml:space="preserve">. However, the exact impact of SGLT2 inhibitors on hemoglobin levels </w:t>
      </w:r>
      <w:r>
        <w:rPr>
          <w:sz w:val="20"/>
          <w:szCs w:val="20"/>
        </w:rPr>
        <w:t>is still debated</w:t>
      </w:r>
      <w:r>
        <w:rPr>
          <w:sz w:val="20"/>
          <w:szCs w:val="20"/>
        </w:rPr>
        <w:t xml:space="preserve"> and requires further research in diverse populations with diabetes.</w:t>
      </w:r>
    </w:p>
    <w:p>
      <w:pPr>
        <w:pStyle w:val="style0"/>
        <w:rPr>
          <w:sz w:val="20"/>
          <w:szCs w:val="20"/>
        </w:rPr>
      </w:pPr>
      <w:r>
        <w:rPr>
          <w:sz w:val="20"/>
          <w:szCs w:val="20"/>
        </w:rPr>
        <w:t xml:space="preserve">Anemia is a frequent complication in diabetic patients, especially in those suffering from diabetic kidney disease (DKD), which affects a large proportion of diabetic outpatients. The relationship between diabetes, kidney dysfunction, and anemia is intricate, and managing both blood glucose levels and anemia in these individuals presents a clinical challenge </w:t>
      </w:r>
      <w:r>
        <w:rPr>
          <w:sz w:val="20"/>
          <w:szCs w:val="20"/>
          <w:vertAlign w:val="superscript"/>
        </w:rPr>
        <w:t>[5]</w:t>
      </w:r>
      <w:r>
        <w:rPr>
          <w:sz w:val="20"/>
          <w:szCs w:val="20"/>
        </w:rPr>
        <w:t xml:space="preserve">. While anemia in diabetic patients </w:t>
      </w:r>
      <w:r>
        <w:rPr>
          <w:sz w:val="20"/>
          <w:szCs w:val="20"/>
        </w:rPr>
        <w:t>is often treated</w:t>
      </w:r>
      <w:r>
        <w:rPr>
          <w:sz w:val="20"/>
          <w:szCs w:val="20"/>
        </w:rPr>
        <w:t xml:space="preserve"> with erythropoiesis-stimulating agents and iron supplementation, understanding the effects of diabetes medications like SGLT2 inhibitors on hemoglobin levels is an important component of comprehensive care </w:t>
      </w:r>
      <w:r>
        <w:rPr>
          <w:sz w:val="20"/>
          <w:szCs w:val="20"/>
          <w:vertAlign w:val="superscript"/>
        </w:rPr>
        <w:t>[6]</w:t>
      </w:r>
      <w:r>
        <w:rPr>
          <w:sz w:val="20"/>
          <w:szCs w:val="20"/>
        </w:rPr>
        <w:t xml:space="preserve">. It is essential to investigate whether SGLT2 inhibitors worsen or improve anemia, particularly in patients with renal dysfunction or poorly controlled blood sugar. This study aims to evaluate the impact of the SGLT2 inhibitor </w:t>
      </w:r>
      <w:r>
        <w:rPr>
          <w:sz w:val="20"/>
          <w:szCs w:val="20"/>
        </w:rPr>
        <w:t>dapagliflozin</w:t>
      </w:r>
      <w:r>
        <w:rPr>
          <w:sz w:val="20"/>
          <w:szCs w:val="20"/>
        </w:rPr>
        <w:t xml:space="preserve"> on hemoglobin levels in diabetic patients with co-existing cardiovascular disease or renal impairment.</w:t>
      </w:r>
    </w:p>
    <w:p>
      <w:pPr>
        <w:pStyle w:val="style0"/>
        <w:ind w:firstLine="0"/>
        <w:rPr>
          <w:b/>
          <w:bCs/>
          <w:sz w:val="20"/>
          <w:szCs w:val="20"/>
        </w:rPr>
      </w:pPr>
    </w:p>
    <w:p>
      <w:pPr>
        <w:pStyle w:val="style0"/>
        <w:ind w:firstLine="0"/>
        <w:rPr>
          <w:b/>
          <w:bCs/>
          <w:sz w:val="20"/>
          <w:szCs w:val="20"/>
        </w:rPr>
      </w:pPr>
    </w:p>
    <w:p>
      <w:pPr>
        <w:pStyle w:val="style0"/>
        <w:ind w:firstLine="0"/>
        <w:rPr>
          <w:b/>
          <w:bCs/>
          <w:sz w:val="20"/>
          <w:szCs w:val="20"/>
        </w:rPr>
      </w:pPr>
    </w:p>
    <w:p>
      <w:pPr>
        <w:pStyle w:val="style0"/>
        <w:ind w:firstLine="0"/>
        <w:rPr>
          <w:b/>
          <w:bCs/>
          <w:sz w:val="20"/>
          <w:szCs w:val="20"/>
        </w:rPr>
      </w:pPr>
    </w:p>
    <w:p>
      <w:pPr>
        <w:pStyle w:val="style179"/>
        <w:numPr>
          <w:ilvl w:val="0"/>
          <w:numId w:val="1"/>
        </w:numPr>
        <w:ind w:left="360" w:firstLine="0"/>
        <w:jc w:val="center"/>
        <w:rPr>
          <w:b/>
          <w:bCs/>
          <w:sz w:val="22"/>
        </w:rPr>
      </w:pPr>
      <w:r>
        <w:rPr>
          <w:b/>
          <w:bCs/>
          <w:sz w:val="22"/>
        </w:rPr>
        <w:t>MATERIALS AND METHODS</w:t>
      </w:r>
    </w:p>
    <w:p>
      <w:pPr>
        <w:pStyle w:val="style179"/>
        <w:numPr>
          <w:ilvl w:val="1"/>
          <w:numId w:val="1"/>
        </w:numPr>
        <w:rPr>
          <w:b/>
          <w:bCs/>
          <w:sz w:val="20"/>
          <w:szCs w:val="20"/>
        </w:rPr>
      </w:pPr>
      <w:r>
        <w:rPr>
          <w:b/>
          <w:bCs/>
          <w:sz w:val="20"/>
          <w:szCs w:val="20"/>
        </w:rPr>
        <w:t>Study setting:</w:t>
      </w:r>
    </w:p>
    <w:p>
      <w:pPr>
        <w:pStyle w:val="style0"/>
        <w:rPr>
          <w:sz w:val="20"/>
          <w:szCs w:val="20"/>
        </w:rPr>
      </w:pPr>
      <w:r>
        <w:rPr>
          <w:sz w:val="20"/>
          <w:szCs w:val="20"/>
        </w:rPr>
        <w:t xml:space="preserve">The study </w:t>
      </w:r>
      <w:r>
        <w:rPr>
          <w:sz w:val="20"/>
          <w:szCs w:val="20"/>
        </w:rPr>
        <w:t>was conducted</w:t>
      </w:r>
      <w:r>
        <w:rPr>
          <w:sz w:val="20"/>
          <w:szCs w:val="20"/>
        </w:rPr>
        <w:t xml:space="preserve"> at Health Insurance Clinics in </w:t>
      </w:r>
      <w:r>
        <w:rPr>
          <w:sz w:val="20"/>
          <w:szCs w:val="20"/>
        </w:rPr>
        <w:t>Sohag</w:t>
      </w:r>
      <w:r>
        <w:rPr>
          <w:sz w:val="20"/>
          <w:szCs w:val="20"/>
        </w:rPr>
        <w:t xml:space="preserve">, Egypt, involving 100 patients diagnosed with T2DM who were receiving treatment with </w:t>
      </w:r>
      <w:r>
        <w:rPr>
          <w:i/>
          <w:iCs/>
          <w:sz w:val="20"/>
          <w:szCs w:val="20"/>
        </w:rPr>
        <w:t>dapagliflozin</w:t>
      </w:r>
      <w:r>
        <w:rPr>
          <w:sz w:val="20"/>
          <w:szCs w:val="20"/>
        </w:rPr>
        <w:t xml:space="preserve"> for a minimum of six months. </w:t>
      </w:r>
      <w:r>
        <w:rPr>
          <w:sz w:val="20"/>
          <w:szCs w:val="20"/>
        </w:rPr>
        <w:t xml:space="preserve">The research protocol </w:t>
      </w:r>
      <w:r>
        <w:rPr>
          <w:sz w:val="20"/>
          <w:szCs w:val="20"/>
        </w:rPr>
        <w:t xml:space="preserve">was reviewed and approved by the </w:t>
      </w:r>
      <w:r>
        <w:rPr>
          <w:sz w:val="20"/>
          <w:szCs w:val="20"/>
        </w:rPr>
        <w:t>Egyptian Health Insurance Organization</w:t>
      </w:r>
      <w:r>
        <w:rPr>
          <w:sz w:val="20"/>
          <w:szCs w:val="20"/>
        </w:rPr>
        <w:t>, with all clinical data anonymized to protect patient privacy</w:t>
      </w:r>
      <w:r>
        <w:rPr>
          <w:sz w:val="20"/>
          <w:szCs w:val="20"/>
        </w:rPr>
        <w:t>. Given the observational nature of the study an</w:t>
      </w:r>
      <w:r>
        <w:rPr>
          <w:sz w:val="20"/>
          <w:szCs w:val="20"/>
        </w:rPr>
        <w:t>d the use of de-identified data</w:t>
      </w:r>
      <w:r>
        <w:rPr>
          <w:sz w:val="20"/>
          <w:szCs w:val="20"/>
        </w:rPr>
        <w:t>. All patients informed a written consent.</w:t>
      </w:r>
    </w:p>
    <w:p>
      <w:pPr>
        <w:pStyle w:val="style179"/>
        <w:numPr>
          <w:ilvl w:val="1"/>
          <w:numId w:val="1"/>
        </w:numPr>
        <w:rPr>
          <w:b/>
          <w:bCs/>
          <w:sz w:val="20"/>
          <w:szCs w:val="20"/>
        </w:rPr>
      </w:pPr>
      <w:r>
        <w:rPr>
          <w:b/>
          <w:bCs/>
          <w:sz w:val="20"/>
          <w:szCs w:val="20"/>
        </w:rPr>
        <w:t>Inclusion Criteria</w:t>
      </w:r>
    </w:p>
    <w:p>
      <w:pPr>
        <w:pStyle w:val="style0"/>
        <w:rPr>
          <w:sz w:val="20"/>
          <w:szCs w:val="20"/>
        </w:rPr>
      </w:pPr>
      <w:r>
        <w:rPr>
          <w:sz w:val="20"/>
          <w:szCs w:val="20"/>
        </w:rPr>
        <w:t xml:space="preserve">To be eligible for inclusion in the study, patients needed to meet several key criteria: they </w:t>
      </w:r>
      <w:r>
        <w:rPr>
          <w:sz w:val="20"/>
          <w:szCs w:val="20"/>
        </w:rPr>
        <w:t xml:space="preserve">must have been </w:t>
      </w:r>
      <w:r>
        <w:rPr>
          <w:sz w:val="20"/>
          <w:szCs w:val="20"/>
        </w:rPr>
        <w:t>diagno</w:t>
      </w:r>
      <w:r>
        <w:rPr>
          <w:sz w:val="20"/>
          <w:szCs w:val="20"/>
        </w:rPr>
        <w:t>sed</w:t>
      </w:r>
      <w:r>
        <w:rPr>
          <w:sz w:val="20"/>
          <w:szCs w:val="20"/>
        </w:rPr>
        <w:t xml:space="preserve"> with T2DM, with or without </w:t>
      </w:r>
      <w:r>
        <w:rPr>
          <w:sz w:val="20"/>
          <w:szCs w:val="20"/>
        </w:rPr>
        <w:t xml:space="preserve">cardiovascular or renal disease </w:t>
      </w:r>
      <w:r>
        <w:rPr>
          <w:sz w:val="20"/>
          <w:szCs w:val="20"/>
        </w:rPr>
        <w:t xml:space="preserve">and be within the age range of 18 to 70 years. Both male and female patients were eligible, ensuring a diverse participant pool. Additionally, all participants </w:t>
      </w:r>
      <w:r>
        <w:rPr>
          <w:sz w:val="20"/>
          <w:szCs w:val="20"/>
        </w:rPr>
        <w:t>must have been treated</w:t>
      </w:r>
      <w:r>
        <w:rPr>
          <w:sz w:val="20"/>
          <w:szCs w:val="20"/>
        </w:rPr>
        <w:t xml:space="preserve"> with </w:t>
      </w:r>
      <w:r>
        <w:rPr>
          <w:i/>
          <w:iCs/>
          <w:sz w:val="20"/>
          <w:szCs w:val="20"/>
        </w:rPr>
        <w:t>dapagliflozin</w:t>
      </w:r>
      <w:r>
        <w:rPr>
          <w:sz w:val="20"/>
          <w:szCs w:val="20"/>
        </w:rPr>
        <w:t xml:space="preserve"> for at least six months prior to enrollment. </w:t>
      </w:r>
    </w:p>
    <w:p>
      <w:pPr>
        <w:pStyle w:val="style179"/>
        <w:numPr>
          <w:ilvl w:val="1"/>
          <w:numId w:val="1"/>
        </w:numPr>
        <w:rPr>
          <w:b/>
          <w:bCs/>
          <w:sz w:val="20"/>
          <w:szCs w:val="20"/>
        </w:rPr>
      </w:pPr>
      <w:r>
        <w:rPr>
          <w:b/>
          <w:bCs/>
          <w:sz w:val="20"/>
          <w:szCs w:val="20"/>
        </w:rPr>
        <w:t>Exclusion Criteria</w:t>
      </w:r>
    </w:p>
    <w:p>
      <w:pPr>
        <w:pStyle w:val="style0"/>
        <w:rPr>
          <w:sz w:val="20"/>
          <w:szCs w:val="20"/>
        </w:rPr>
      </w:pPr>
      <w:r>
        <w:rPr>
          <w:sz w:val="20"/>
          <w:szCs w:val="20"/>
        </w:rPr>
        <w:t xml:space="preserve">Several exclusion criteria </w:t>
      </w:r>
      <w:r>
        <w:rPr>
          <w:sz w:val="20"/>
          <w:szCs w:val="20"/>
        </w:rPr>
        <w:t>were applied</w:t>
      </w:r>
      <w:r>
        <w:rPr>
          <w:sz w:val="20"/>
          <w:szCs w:val="20"/>
        </w:rPr>
        <w:t xml:space="preserve"> to ensure the safety and relevance of the study. Patients who were pregnant or lactating </w:t>
      </w:r>
      <w:r>
        <w:rPr>
          <w:sz w:val="20"/>
          <w:szCs w:val="20"/>
        </w:rPr>
        <w:t>were excluded</w:t>
      </w:r>
      <w:r>
        <w:rPr>
          <w:sz w:val="20"/>
          <w:szCs w:val="20"/>
        </w:rPr>
        <w:t xml:space="preserve">, as these conditions can significantly alter blood physiology, including hemoglobin levels. Individuals with hepatic impairment </w:t>
      </w:r>
      <w:r>
        <w:rPr>
          <w:sz w:val="20"/>
          <w:szCs w:val="20"/>
        </w:rPr>
        <w:t>were also excluded</w:t>
      </w:r>
      <w:r>
        <w:rPr>
          <w:sz w:val="20"/>
          <w:szCs w:val="20"/>
        </w:rPr>
        <w:t xml:space="preserve"> due to potential liver-related alterations in drug metabolism and hematologic parameters. Patients with genetic blood disorders, such as sickle cell anemia or thalassemia, </w:t>
      </w:r>
      <w:r>
        <w:rPr>
          <w:sz w:val="20"/>
          <w:szCs w:val="20"/>
        </w:rPr>
        <w:t>were excluded</w:t>
      </w:r>
      <w:r>
        <w:rPr>
          <w:sz w:val="20"/>
          <w:szCs w:val="20"/>
        </w:rPr>
        <w:t xml:space="preserve">, as these conditions could confound the results due to pre-existing changes in hemoglobin levels. Lastly, cancer patients or those undergoing active cancer treatment </w:t>
      </w:r>
      <w:r>
        <w:rPr>
          <w:sz w:val="20"/>
          <w:szCs w:val="20"/>
        </w:rPr>
        <w:t>were excluded</w:t>
      </w:r>
      <w:r>
        <w:rPr>
          <w:sz w:val="20"/>
          <w:szCs w:val="20"/>
        </w:rPr>
        <w:t>, as cancer and its treatments can independently affect hematological outcomes.</w:t>
      </w:r>
    </w:p>
    <w:p>
      <w:pPr>
        <w:pStyle w:val="style179"/>
        <w:numPr>
          <w:ilvl w:val="1"/>
          <w:numId w:val="1"/>
        </w:numPr>
        <w:rPr>
          <w:b/>
          <w:bCs/>
          <w:sz w:val="20"/>
          <w:szCs w:val="20"/>
        </w:rPr>
      </w:pPr>
      <w:r>
        <w:rPr>
          <w:b/>
          <w:bCs/>
          <w:sz w:val="20"/>
          <w:szCs w:val="20"/>
        </w:rPr>
        <w:t>Methods</w:t>
      </w:r>
    </w:p>
    <w:p>
      <w:pPr>
        <w:pStyle w:val="style0"/>
        <w:rPr>
          <w:sz w:val="20"/>
          <w:szCs w:val="20"/>
        </w:rPr>
      </w:pPr>
      <w:r>
        <w:rPr>
          <w:sz w:val="20"/>
          <w:szCs w:val="20"/>
        </w:rPr>
        <w:t>Data collection included patient demographics (age and sex), duration of diabetes, medical history, and current comorbi</w:t>
      </w:r>
      <w:r>
        <w:rPr>
          <w:sz w:val="20"/>
          <w:szCs w:val="20"/>
        </w:rPr>
        <w:t xml:space="preserve">d conditions. Patients </w:t>
      </w:r>
      <w:r>
        <w:rPr>
          <w:sz w:val="20"/>
          <w:szCs w:val="20"/>
        </w:rPr>
        <w:t>were then</w:t>
      </w:r>
      <w:r>
        <w:rPr>
          <w:sz w:val="20"/>
          <w:szCs w:val="20"/>
        </w:rPr>
        <w:t xml:space="preserve"> classified</w:t>
      </w:r>
      <w:r>
        <w:rPr>
          <w:sz w:val="20"/>
          <w:szCs w:val="20"/>
        </w:rPr>
        <w:t xml:space="preserve"> into subgroups based on </w:t>
      </w:r>
      <w:r>
        <w:rPr>
          <w:sz w:val="20"/>
          <w:szCs w:val="20"/>
        </w:rPr>
        <w:t xml:space="preserve">T2DM </w:t>
      </w:r>
      <w:r>
        <w:rPr>
          <w:sz w:val="20"/>
          <w:szCs w:val="20"/>
        </w:rPr>
        <w:t xml:space="preserve">only or combined with </w:t>
      </w:r>
      <w:r>
        <w:rPr>
          <w:sz w:val="20"/>
          <w:szCs w:val="20"/>
        </w:rPr>
        <w:t>comorbidity of cardiovascular or renal disease.</w:t>
      </w:r>
    </w:p>
    <w:p>
      <w:pPr>
        <w:pStyle w:val="style0"/>
        <w:rPr>
          <w:sz w:val="20"/>
          <w:szCs w:val="20"/>
        </w:rPr>
      </w:pPr>
      <w:r>
        <w:rPr>
          <w:sz w:val="20"/>
          <w:szCs w:val="20"/>
        </w:rPr>
        <w:t xml:space="preserve">In this study, all participants </w:t>
      </w:r>
      <w:r>
        <w:rPr>
          <w:sz w:val="20"/>
          <w:szCs w:val="20"/>
        </w:rPr>
        <w:t>were initially prescribed</w:t>
      </w:r>
      <w:r>
        <w:rPr>
          <w:sz w:val="20"/>
          <w:szCs w:val="20"/>
        </w:rPr>
        <w:t xml:space="preserve"> </w:t>
      </w:r>
      <w:r>
        <w:rPr>
          <w:i/>
          <w:iCs/>
          <w:sz w:val="20"/>
          <w:szCs w:val="20"/>
        </w:rPr>
        <w:t>dapagliflozin</w:t>
      </w:r>
      <w:r>
        <w:rPr>
          <w:sz w:val="20"/>
          <w:szCs w:val="20"/>
        </w:rPr>
        <w:t xml:space="preserve"> at a dose of 5 mg once daily. This initial dosage </w:t>
      </w:r>
      <w:r>
        <w:rPr>
          <w:sz w:val="20"/>
          <w:szCs w:val="20"/>
        </w:rPr>
        <w:t>was chosen</w:t>
      </w:r>
      <w:r>
        <w:rPr>
          <w:sz w:val="20"/>
          <w:szCs w:val="20"/>
        </w:rPr>
        <w:t xml:space="preserve"> as the standard starting dose recommended for most T2DM patients, as it is generally well tolerated and effective at controlling blood glucose levels. For patients who tolerated the 5 mg dose well and required further glycemic control, the dose </w:t>
      </w:r>
      <w:r>
        <w:rPr>
          <w:sz w:val="20"/>
          <w:szCs w:val="20"/>
        </w:rPr>
        <w:t>was increased</w:t>
      </w:r>
      <w:r>
        <w:rPr>
          <w:sz w:val="20"/>
          <w:szCs w:val="20"/>
        </w:rPr>
        <w:t xml:space="preserve"> to 10 mg once daily, in accordance with clinical guidelines, for additional glycemic control. The maximum dose of 10 mg daily </w:t>
      </w:r>
      <w:r>
        <w:rPr>
          <w:sz w:val="20"/>
          <w:szCs w:val="20"/>
        </w:rPr>
        <w:t>is typically used</w:t>
      </w:r>
      <w:r>
        <w:rPr>
          <w:sz w:val="20"/>
          <w:szCs w:val="20"/>
        </w:rPr>
        <w:t xml:space="preserve"> in patients who require enhanced glycemic control or who do not achieve adequate blood sugar reduction with the lower dose.</w:t>
      </w:r>
    </w:p>
    <w:p>
      <w:pPr>
        <w:pStyle w:val="style0"/>
        <w:rPr>
          <w:sz w:val="20"/>
          <w:szCs w:val="20"/>
        </w:rPr>
      </w:pPr>
      <w:r>
        <w:rPr>
          <w:sz w:val="20"/>
          <w:szCs w:val="20"/>
        </w:rPr>
        <w:t xml:space="preserve">Throughout the study, patients underwent regular assessments to monitor their overall health and response to </w:t>
      </w:r>
      <w:r>
        <w:rPr>
          <w:i/>
          <w:iCs/>
          <w:sz w:val="20"/>
          <w:szCs w:val="20"/>
        </w:rPr>
        <w:t>dapagliflozin</w:t>
      </w:r>
      <w:r>
        <w:rPr>
          <w:sz w:val="20"/>
          <w:szCs w:val="20"/>
        </w:rPr>
        <w:t xml:space="preserve">. Baseline data </w:t>
      </w:r>
      <w:r>
        <w:rPr>
          <w:sz w:val="20"/>
          <w:szCs w:val="20"/>
        </w:rPr>
        <w:t>were collected</w:t>
      </w:r>
      <w:r>
        <w:rPr>
          <w:sz w:val="20"/>
          <w:szCs w:val="20"/>
        </w:rPr>
        <w:t xml:space="preserve"> on each participant’s hemoglobin levels, renal function (e.g., estimated glomerular filtration rate, or </w:t>
      </w:r>
      <w:r>
        <w:rPr>
          <w:sz w:val="20"/>
          <w:szCs w:val="20"/>
        </w:rPr>
        <w:t>eGFR</w:t>
      </w:r>
      <w:r>
        <w:rPr>
          <w:sz w:val="20"/>
          <w:szCs w:val="20"/>
        </w:rPr>
        <w:t xml:space="preserve">), blood pressure, and other cardiovascular health indicators. Blood samples </w:t>
      </w:r>
      <w:r>
        <w:rPr>
          <w:sz w:val="20"/>
          <w:szCs w:val="20"/>
        </w:rPr>
        <w:t>were drawn</w:t>
      </w:r>
      <w:r>
        <w:rPr>
          <w:sz w:val="20"/>
          <w:szCs w:val="20"/>
        </w:rPr>
        <w:t xml:space="preserve"> at the beginning of the study, and </w:t>
      </w:r>
      <w:r>
        <w:rPr>
          <w:sz w:val="20"/>
          <w:szCs w:val="20"/>
        </w:rPr>
        <w:t>after the end of treatment</w:t>
      </w:r>
      <w:r>
        <w:rPr>
          <w:sz w:val="20"/>
          <w:szCs w:val="20"/>
        </w:rPr>
        <w:t xml:space="preserve"> to monitor changes in hemoglobin levels, kidney function markers, and other relevant biomarkers</w:t>
      </w:r>
      <w:r>
        <w:rPr>
          <w:sz w:val="20"/>
          <w:szCs w:val="20"/>
        </w:rPr>
        <w:t xml:space="preserve"> such as HbA1c levels</w:t>
      </w:r>
      <w:r>
        <w:rPr>
          <w:sz w:val="20"/>
          <w:szCs w:val="20"/>
        </w:rPr>
        <w:t xml:space="preserve">. Adverse events related to </w:t>
      </w:r>
      <w:r>
        <w:rPr>
          <w:i/>
          <w:iCs/>
          <w:sz w:val="20"/>
          <w:szCs w:val="20"/>
        </w:rPr>
        <w:t>dapagliflozin</w:t>
      </w:r>
      <w:r>
        <w:rPr>
          <w:sz w:val="20"/>
          <w:szCs w:val="20"/>
        </w:rPr>
        <w:t xml:space="preserve">, including dehydration, urinary tract infections, or any new or worsening cardiovascular events, </w:t>
      </w:r>
      <w:r>
        <w:rPr>
          <w:sz w:val="20"/>
          <w:szCs w:val="20"/>
        </w:rPr>
        <w:t>were closely monitored and documented</w:t>
      </w:r>
      <w:r>
        <w:rPr>
          <w:sz w:val="20"/>
          <w:szCs w:val="20"/>
        </w:rPr>
        <w:t xml:space="preserve">. Patients also had their blood pressure and weight measured regularly to ensure no undue changes occurred </w:t>
      </w:r>
      <w:r>
        <w:rPr>
          <w:sz w:val="20"/>
          <w:szCs w:val="20"/>
        </w:rPr>
        <w:t>as a result</w:t>
      </w:r>
      <w:r>
        <w:rPr>
          <w:sz w:val="20"/>
          <w:szCs w:val="20"/>
        </w:rPr>
        <w:t xml:space="preserve"> of the drug’s use.</w:t>
      </w:r>
    </w:p>
    <w:p>
      <w:pPr>
        <w:pStyle w:val="style179"/>
        <w:numPr>
          <w:ilvl w:val="1"/>
          <w:numId w:val="1"/>
        </w:numPr>
        <w:rPr>
          <w:b/>
          <w:bCs/>
          <w:sz w:val="20"/>
          <w:szCs w:val="20"/>
        </w:rPr>
      </w:pPr>
      <w:r>
        <w:rPr>
          <w:b/>
          <w:bCs/>
          <w:sz w:val="20"/>
          <w:szCs w:val="20"/>
        </w:rPr>
        <w:t>Statistical analysis:</w:t>
      </w:r>
    </w:p>
    <w:p>
      <w:pPr>
        <w:pStyle w:val="style0"/>
        <w:rPr>
          <w:sz w:val="20"/>
          <w:szCs w:val="20"/>
        </w:rPr>
      </w:pPr>
      <w:r>
        <w:rPr>
          <w:sz w:val="20"/>
          <w:szCs w:val="20"/>
        </w:rPr>
        <w:t xml:space="preserve">Data analysis </w:t>
      </w:r>
      <w:r>
        <w:rPr>
          <w:sz w:val="20"/>
          <w:szCs w:val="20"/>
        </w:rPr>
        <w:t>was conducted</w:t>
      </w:r>
      <w:r>
        <w:rPr>
          <w:sz w:val="20"/>
          <w:szCs w:val="20"/>
        </w:rPr>
        <w:t xml:space="preserve"> with SPSS software version 25. Descriptive statistics </w:t>
      </w:r>
      <w:r>
        <w:rPr>
          <w:sz w:val="20"/>
          <w:szCs w:val="20"/>
        </w:rPr>
        <w:t>are presented</w:t>
      </w:r>
      <w:r>
        <w:rPr>
          <w:sz w:val="20"/>
          <w:szCs w:val="20"/>
        </w:rPr>
        <w:t xml:space="preserve"> as means ± standard deviations (SD) for continuous variables and as frequencies for categorical variables. To compare continuous data between groups, the independent t-test </w:t>
      </w:r>
      <w:r>
        <w:rPr>
          <w:sz w:val="20"/>
          <w:szCs w:val="20"/>
        </w:rPr>
        <w:t>was used</w:t>
      </w:r>
      <w:r>
        <w:rPr>
          <w:sz w:val="20"/>
          <w:szCs w:val="20"/>
        </w:rPr>
        <w:t xml:space="preserve"> for normally distributed variables, and the Mann-Whitney U test was utilized for variables that did not follow a normal distribution. The chi-square test </w:t>
      </w:r>
      <w:r>
        <w:rPr>
          <w:sz w:val="20"/>
          <w:szCs w:val="20"/>
        </w:rPr>
        <w:t>was employed</w:t>
      </w:r>
      <w:r>
        <w:rPr>
          <w:sz w:val="20"/>
          <w:szCs w:val="20"/>
        </w:rPr>
        <w:t xml:space="preserve"> for categorical variables. Within-group differences </w:t>
      </w:r>
      <w:r>
        <w:rPr>
          <w:sz w:val="20"/>
          <w:szCs w:val="20"/>
        </w:rPr>
        <w:t>were evaluated</w:t>
      </w:r>
      <w:r>
        <w:rPr>
          <w:sz w:val="20"/>
          <w:szCs w:val="20"/>
        </w:rPr>
        <w:t xml:space="preserve"> using the paired t-test for normally distributed data and the Wilcoxon signed-rank test for non-normally distributed data. A p-value of less than 0.05 </w:t>
      </w:r>
      <w:r>
        <w:rPr>
          <w:sz w:val="20"/>
          <w:szCs w:val="20"/>
        </w:rPr>
        <w:t>was considered</w:t>
      </w:r>
      <w:r>
        <w:rPr>
          <w:sz w:val="20"/>
          <w:szCs w:val="20"/>
        </w:rPr>
        <w:t xml:space="preserve"> statistically significant.</w:t>
      </w:r>
    </w:p>
    <w:p>
      <w:pPr>
        <w:pStyle w:val="style179"/>
        <w:numPr>
          <w:ilvl w:val="0"/>
          <w:numId w:val="1"/>
        </w:numPr>
        <w:ind w:left="360" w:firstLine="0"/>
        <w:jc w:val="center"/>
        <w:rPr>
          <w:b/>
          <w:bCs/>
          <w:sz w:val="22"/>
        </w:rPr>
      </w:pPr>
      <w:r>
        <w:rPr>
          <w:b/>
          <w:bCs/>
          <w:sz w:val="22"/>
        </w:rPr>
        <w:t>RESULTS</w:t>
      </w:r>
    </w:p>
    <w:p>
      <w:pPr>
        <w:pStyle w:val="style0"/>
        <w:rPr>
          <w:sz w:val="20"/>
          <w:szCs w:val="20"/>
        </w:rPr>
      </w:pPr>
      <w:r>
        <w:rPr>
          <w:sz w:val="20"/>
          <w:szCs w:val="20"/>
        </w:rPr>
        <w:t>A total of 116</w:t>
      </w:r>
      <w:r>
        <w:rPr>
          <w:sz w:val="20"/>
          <w:szCs w:val="20"/>
        </w:rPr>
        <w:t xml:space="preserve"> patients with </w:t>
      </w:r>
      <w:r>
        <w:rPr>
          <w:sz w:val="20"/>
          <w:szCs w:val="20"/>
        </w:rPr>
        <w:t>T2DM</w:t>
      </w:r>
      <w:r>
        <w:rPr>
          <w:sz w:val="20"/>
          <w:szCs w:val="20"/>
        </w:rPr>
        <w:t xml:space="preserve"> were included in the study, consisting of 86 patients in the T2DM-only group and 30 patients in the T2DM with comorbidities group, which included those with cardiovascular or renal diseases. </w:t>
      </w:r>
      <w:r>
        <w:rPr>
          <w:b/>
          <w:bCs/>
          <w:sz w:val="20"/>
          <w:szCs w:val="20"/>
        </w:rPr>
        <w:t>Table 1</w:t>
      </w:r>
      <w:r>
        <w:rPr>
          <w:sz w:val="20"/>
          <w:szCs w:val="20"/>
        </w:rPr>
        <w:t xml:space="preserve"> presents a comparison of the demographic characteristics of the two groups. The T2DM with comorbidities group was significantly older (57.9 ± 9.7 years) compared to the T2DM-only group (53.7 ± 8.1 years), with a p-value of 0.020. However, no significant difference in gender distribution was observed (p = 0.964). The Body Mass Index (BMI) was similar between the groups (p = 0.282), but the duration of diabetes was notably longer in the T2DM with comorbidities group (12.6 ± 3.2 years) compared to the T2DM-only group (9.4 ± 3.0 years), with a p-value of &lt; 0.001.</w:t>
      </w:r>
    </w:p>
    <w:p>
      <w:pPr>
        <w:pStyle w:val="style0"/>
        <w:rPr>
          <w:sz w:val="20"/>
          <w:szCs w:val="20"/>
        </w:rPr>
      </w:pPr>
      <w:r>
        <w:rPr>
          <w:b/>
          <w:bCs/>
          <w:sz w:val="20"/>
          <w:szCs w:val="20"/>
        </w:rPr>
        <w:t>Table 2</w:t>
      </w:r>
      <w:r>
        <w:rPr>
          <w:sz w:val="20"/>
          <w:szCs w:val="20"/>
        </w:rPr>
        <w:t xml:space="preserve"> details the changes in hematological and glycemic markers before and after treatment with </w:t>
      </w:r>
      <w:r>
        <w:rPr>
          <w:sz w:val="20"/>
          <w:szCs w:val="20"/>
        </w:rPr>
        <w:t>Dapagliflozin</w:t>
      </w:r>
      <w:r>
        <w:rPr>
          <w:sz w:val="20"/>
          <w:szCs w:val="20"/>
        </w:rPr>
        <w:t xml:space="preserve">. Significant improvements in hemoglobin levels </w:t>
      </w:r>
      <w:r>
        <w:rPr>
          <w:sz w:val="20"/>
          <w:szCs w:val="20"/>
        </w:rPr>
        <w:t>were observed</w:t>
      </w:r>
      <w:r>
        <w:rPr>
          <w:sz w:val="20"/>
          <w:szCs w:val="20"/>
        </w:rPr>
        <w:t xml:space="preserve"> in both groups. The T2DM-only group increased from 13.3 ± 1.8 g/</w:t>
      </w:r>
      <w:r>
        <w:rPr>
          <w:sz w:val="20"/>
          <w:szCs w:val="20"/>
        </w:rPr>
        <w:t>dL</w:t>
      </w:r>
      <w:r>
        <w:rPr>
          <w:sz w:val="20"/>
          <w:szCs w:val="20"/>
        </w:rPr>
        <w:t xml:space="preserve"> to 13.8 ± 1.5 g/</w:t>
      </w:r>
      <w:r>
        <w:rPr>
          <w:sz w:val="20"/>
          <w:szCs w:val="20"/>
        </w:rPr>
        <w:t>dL</w:t>
      </w:r>
      <w:r>
        <w:rPr>
          <w:sz w:val="20"/>
          <w:szCs w:val="20"/>
        </w:rPr>
        <w:t xml:space="preserve"> (p &lt; 0.001), while the T2DM with comorbidities group showed a smaller but significant increase from 12.8 ± 1.6 g/</w:t>
      </w:r>
      <w:r>
        <w:rPr>
          <w:sz w:val="20"/>
          <w:szCs w:val="20"/>
        </w:rPr>
        <w:t>dL</w:t>
      </w:r>
      <w:r>
        <w:rPr>
          <w:sz w:val="20"/>
          <w:szCs w:val="20"/>
        </w:rPr>
        <w:t xml:space="preserve"> to 13.2 ± 1.8 g/</w:t>
      </w:r>
      <w:r>
        <w:rPr>
          <w:sz w:val="20"/>
          <w:szCs w:val="20"/>
        </w:rPr>
        <w:t>dL</w:t>
      </w:r>
      <w:r>
        <w:rPr>
          <w:sz w:val="20"/>
          <w:szCs w:val="20"/>
        </w:rPr>
        <w:t xml:space="preserve"> (p = 0.042). Both groups also exhibited a significant rise in white blood cell (WBC) counts, with the T2DM-only group increasing from 6.7 ± 1.8 × 10³/µL to 7.0 ± 1.7 × 10³/µL (p = 0.002), and the T2DM with comorbidities group from 6.1 ± 2.1 × 10³/µL to 6.6 ± 1.6 × 10³/µL (p = 0.033). Regarding glycemic control, HbA1c levels decreased significantly in both groups: the T2DM-only group improved from 9.0 ± 1.4% to 7.9 ± 1.0% (p &lt; 0.001), and the T2DM with comorbidities group reduced from 8.7 ± 1.1% to 7.8 ± 1.1% (p &lt; 0.001).</w:t>
      </w:r>
    </w:p>
    <w:p>
      <w:pPr>
        <w:pStyle w:val="style0"/>
        <w:rPr>
          <w:sz w:val="20"/>
          <w:szCs w:val="20"/>
        </w:rPr>
      </w:pPr>
      <w:r>
        <w:rPr>
          <w:b/>
          <w:bCs/>
          <w:sz w:val="20"/>
          <w:szCs w:val="20"/>
        </w:rPr>
        <w:t>Table 3</w:t>
      </w:r>
      <w:r>
        <w:rPr>
          <w:sz w:val="20"/>
          <w:szCs w:val="20"/>
        </w:rPr>
        <w:t xml:space="preserve"> shows that both groups had significant improvements in lipid profiles following </w:t>
      </w:r>
      <w:r>
        <w:rPr>
          <w:sz w:val="20"/>
          <w:szCs w:val="20"/>
        </w:rPr>
        <w:t>Dapagliflozin</w:t>
      </w:r>
      <w:r>
        <w:rPr>
          <w:sz w:val="20"/>
          <w:szCs w:val="20"/>
        </w:rPr>
        <w:t xml:space="preserve"> treatment. In the T2DM-only group, total cholesterol decreased from 192.98 ± 58.58 mg/</w:t>
      </w:r>
      <w:r>
        <w:rPr>
          <w:sz w:val="20"/>
          <w:szCs w:val="20"/>
        </w:rPr>
        <w:t>dL</w:t>
      </w:r>
      <w:r>
        <w:rPr>
          <w:sz w:val="20"/>
          <w:szCs w:val="20"/>
        </w:rPr>
        <w:t xml:space="preserve"> to 163.7 ± 52.0 mg/</w:t>
      </w:r>
      <w:r>
        <w:rPr>
          <w:sz w:val="20"/>
          <w:szCs w:val="20"/>
        </w:rPr>
        <w:t>dL</w:t>
      </w:r>
      <w:r>
        <w:rPr>
          <w:sz w:val="20"/>
          <w:szCs w:val="20"/>
        </w:rPr>
        <w:t xml:space="preserve"> (p &lt; 0.001), and the T2DM with comorbidities group showed a similar reduction from 193.60 ± 63.73 mg/</w:t>
      </w:r>
      <w:r>
        <w:rPr>
          <w:sz w:val="20"/>
          <w:szCs w:val="20"/>
        </w:rPr>
        <w:t>dL</w:t>
      </w:r>
      <w:r>
        <w:rPr>
          <w:sz w:val="20"/>
          <w:szCs w:val="20"/>
        </w:rPr>
        <w:t xml:space="preserve"> to 158.4 ± 51.7 mg/</w:t>
      </w:r>
      <w:r>
        <w:rPr>
          <w:sz w:val="20"/>
          <w:szCs w:val="20"/>
        </w:rPr>
        <w:t>dL</w:t>
      </w:r>
      <w:r>
        <w:rPr>
          <w:sz w:val="20"/>
          <w:szCs w:val="20"/>
        </w:rPr>
        <w:t xml:space="preserve"> (p &lt; 0.001). Both groups also had a significant reduction in LDL cholesterol and an increase in HDL cholesterol, with triglyceride levels decreasing in both groups as well. The T2DM-only group’s LDL dropped from 149.2 ± 53.8 mg/</w:t>
      </w:r>
      <w:r>
        <w:rPr>
          <w:sz w:val="20"/>
          <w:szCs w:val="20"/>
        </w:rPr>
        <w:t>dL</w:t>
      </w:r>
      <w:r>
        <w:rPr>
          <w:sz w:val="20"/>
          <w:szCs w:val="20"/>
        </w:rPr>
        <w:t xml:space="preserve"> to 126.4 ± 46.4 mg/</w:t>
      </w:r>
      <w:r>
        <w:rPr>
          <w:sz w:val="20"/>
          <w:szCs w:val="20"/>
        </w:rPr>
        <w:t>dL</w:t>
      </w:r>
      <w:r>
        <w:rPr>
          <w:sz w:val="20"/>
          <w:szCs w:val="20"/>
        </w:rPr>
        <w:t xml:space="preserve"> (p &lt; 0.001), and HDL increased from 40.5 ± 11.4 mg/</w:t>
      </w:r>
      <w:r>
        <w:rPr>
          <w:sz w:val="20"/>
          <w:szCs w:val="20"/>
        </w:rPr>
        <w:t>dL</w:t>
      </w:r>
      <w:r>
        <w:rPr>
          <w:sz w:val="20"/>
          <w:szCs w:val="20"/>
        </w:rPr>
        <w:t xml:space="preserve"> to 42.9 ± 10.6 mg/</w:t>
      </w:r>
      <w:r>
        <w:rPr>
          <w:sz w:val="20"/>
          <w:szCs w:val="20"/>
        </w:rPr>
        <w:t>dL</w:t>
      </w:r>
      <w:r>
        <w:rPr>
          <w:sz w:val="20"/>
          <w:szCs w:val="20"/>
        </w:rPr>
        <w:t xml:space="preserve"> (p &lt; 0.001). The T2DM with comorbidities group showed a similar decrease in LDL (139.1 ± 49.0 mg/</w:t>
      </w:r>
      <w:r>
        <w:rPr>
          <w:sz w:val="20"/>
          <w:szCs w:val="20"/>
        </w:rPr>
        <w:t>dL</w:t>
      </w:r>
      <w:r>
        <w:rPr>
          <w:sz w:val="20"/>
          <w:szCs w:val="20"/>
        </w:rPr>
        <w:t xml:space="preserve"> to 125.2 ± 44.7 mg/</w:t>
      </w:r>
      <w:r>
        <w:rPr>
          <w:sz w:val="20"/>
          <w:szCs w:val="20"/>
        </w:rPr>
        <w:t>dL</w:t>
      </w:r>
      <w:r>
        <w:rPr>
          <w:sz w:val="20"/>
          <w:szCs w:val="20"/>
        </w:rPr>
        <w:t>, p = 0.002) and an increase in HDL (36.6 ± 11.1 mg/</w:t>
      </w:r>
      <w:r>
        <w:rPr>
          <w:sz w:val="20"/>
          <w:szCs w:val="20"/>
        </w:rPr>
        <w:t>dL</w:t>
      </w:r>
      <w:r>
        <w:rPr>
          <w:sz w:val="20"/>
          <w:szCs w:val="20"/>
        </w:rPr>
        <w:t xml:space="preserve"> to 38.0 ± 12.1 mg/</w:t>
      </w:r>
      <w:r>
        <w:rPr>
          <w:sz w:val="20"/>
          <w:szCs w:val="20"/>
        </w:rPr>
        <w:t>dL</w:t>
      </w:r>
      <w:r>
        <w:rPr>
          <w:sz w:val="20"/>
          <w:szCs w:val="20"/>
        </w:rPr>
        <w:t>, p = 0.010). Triglycerides decreased in the T2DM-only group from 130.8 ± 75.7 mg/</w:t>
      </w:r>
      <w:r>
        <w:rPr>
          <w:sz w:val="20"/>
          <w:szCs w:val="20"/>
        </w:rPr>
        <w:t>dL</w:t>
      </w:r>
      <w:r>
        <w:rPr>
          <w:sz w:val="20"/>
          <w:szCs w:val="20"/>
        </w:rPr>
        <w:t xml:space="preserve"> to 114.3 ± 67.4 mg/</w:t>
      </w:r>
      <w:r>
        <w:rPr>
          <w:sz w:val="20"/>
          <w:szCs w:val="20"/>
        </w:rPr>
        <w:t>dL</w:t>
      </w:r>
      <w:r>
        <w:rPr>
          <w:sz w:val="20"/>
          <w:szCs w:val="20"/>
        </w:rPr>
        <w:t xml:space="preserve"> (p &lt; 0.001) and in the T2DM with comorbidities group from 157.4 ± 100.4 mg/</w:t>
      </w:r>
      <w:r>
        <w:rPr>
          <w:sz w:val="20"/>
          <w:szCs w:val="20"/>
        </w:rPr>
        <w:t>dL</w:t>
      </w:r>
      <w:r>
        <w:rPr>
          <w:sz w:val="20"/>
          <w:szCs w:val="20"/>
        </w:rPr>
        <w:t xml:space="preserve"> to 133.3 ± 85.9 mg/</w:t>
      </w:r>
      <w:r>
        <w:rPr>
          <w:sz w:val="20"/>
          <w:szCs w:val="20"/>
        </w:rPr>
        <w:t>dL</w:t>
      </w:r>
      <w:r>
        <w:rPr>
          <w:sz w:val="20"/>
          <w:szCs w:val="20"/>
        </w:rPr>
        <w:t xml:space="preserve"> (p &lt; 0.001).</w:t>
      </w:r>
    </w:p>
    <w:p>
      <w:pPr>
        <w:pStyle w:val="style0"/>
        <w:rPr>
          <w:sz w:val="20"/>
          <w:szCs w:val="20"/>
        </w:rPr>
      </w:pPr>
      <w:r>
        <w:rPr>
          <w:b/>
          <w:bCs/>
          <w:sz w:val="20"/>
          <w:szCs w:val="20"/>
        </w:rPr>
        <w:t>Table 4</w:t>
      </w:r>
      <w:r>
        <w:rPr>
          <w:sz w:val="20"/>
          <w:szCs w:val="20"/>
        </w:rPr>
        <w:t xml:space="preserve"> presents changes in kidney function markers. Both groups showed significant increases in creatinine and urea levels. The T2DM-only group’s creatinine rose from 0.88 ± 0.24 mg/</w:t>
      </w:r>
      <w:r>
        <w:rPr>
          <w:sz w:val="20"/>
          <w:szCs w:val="20"/>
        </w:rPr>
        <w:t>dL</w:t>
      </w:r>
      <w:r>
        <w:rPr>
          <w:sz w:val="20"/>
          <w:szCs w:val="20"/>
        </w:rPr>
        <w:t xml:space="preserve"> to 1.07 ± 0.25 mg/</w:t>
      </w:r>
      <w:r>
        <w:rPr>
          <w:sz w:val="20"/>
          <w:szCs w:val="20"/>
        </w:rPr>
        <w:t>dL</w:t>
      </w:r>
      <w:r>
        <w:rPr>
          <w:sz w:val="20"/>
          <w:szCs w:val="20"/>
        </w:rPr>
        <w:t xml:space="preserve"> (p &lt; 0.001), while the T2DM with comorbidities group’s creatinine increased from 1.23 ± 0.52 mg/</w:t>
      </w:r>
      <w:r>
        <w:rPr>
          <w:sz w:val="20"/>
          <w:szCs w:val="20"/>
        </w:rPr>
        <w:t>dL</w:t>
      </w:r>
      <w:r>
        <w:rPr>
          <w:sz w:val="20"/>
          <w:szCs w:val="20"/>
        </w:rPr>
        <w:t xml:space="preserve"> to 1.38 ± 0.41 mg/</w:t>
      </w:r>
      <w:r>
        <w:rPr>
          <w:sz w:val="20"/>
          <w:szCs w:val="20"/>
        </w:rPr>
        <w:t>dL</w:t>
      </w:r>
      <w:r>
        <w:rPr>
          <w:sz w:val="20"/>
          <w:szCs w:val="20"/>
        </w:rPr>
        <w:t xml:space="preserve"> (p = 0.002). Urea levels increased in both groups as well. The T2DM-only group increased from 28.1 ± 20.1 mg/</w:t>
      </w:r>
      <w:r>
        <w:rPr>
          <w:sz w:val="20"/>
          <w:szCs w:val="20"/>
        </w:rPr>
        <w:t>dL</w:t>
      </w:r>
      <w:r>
        <w:rPr>
          <w:sz w:val="20"/>
          <w:szCs w:val="20"/>
        </w:rPr>
        <w:t xml:space="preserve"> to 30.7 ± 6.4 mg/</w:t>
      </w:r>
      <w:r>
        <w:rPr>
          <w:sz w:val="20"/>
          <w:szCs w:val="20"/>
        </w:rPr>
        <w:t>dL</w:t>
      </w:r>
      <w:r>
        <w:rPr>
          <w:sz w:val="20"/>
          <w:szCs w:val="20"/>
        </w:rPr>
        <w:t xml:space="preserve"> (p &lt; 0.001), while the T2DM with comorbidities group increased from 39.1 ± 14.7 mg/</w:t>
      </w:r>
      <w:r>
        <w:rPr>
          <w:sz w:val="20"/>
          <w:szCs w:val="20"/>
        </w:rPr>
        <w:t>dL</w:t>
      </w:r>
      <w:r>
        <w:rPr>
          <w:sz w:val="20"/>
          <w:szCs w:val="20"/>
        </w:rPr>
        <w:t xml:space="preserve"> to 44.5 ± 17.2 mg/</w:t>
      </w:r>
      <w:r>
        <w:rPr>
          <w:sz w:val="20"/>
          <w:szCs w:val="20"/>
        </w:rPr>
        <w:t>dL</w:t>
      </w:r>
      <w:r>
        <w:rPr>
          <w:sz w:val="20"/>
          <w:szCs w:val="20"/>
        </w:rPr>
        <w:t xml:space="preserve"> (p &lt; 0.001). Uric acid levels increased significantly in the T2DM-only group from 4.1 ± 1.6 mg/</w:t>
      </w:r>
      <w:r>
        <w:rPr>
          <w:sz w:val="20"/>
          <w:szCs w:val="20"/>
        </w:rPr>
        <w:t>dL</w:t>
      </w:r>
      <w:r>
        <w:rPr>
          <w:sz w:val="20"/>
          <w:szCs w:val="20"/>
        </w:rPr>
        <w:t xml:space="preserve"> to 5.4 ± 1.2 mg/</w:t>
      </w:r>
      <w:r>
        <w:rPr>
          <w:sz w:val="20"/>
          <w:szCs w:val="20"/>
        </w:rPr>
        <w:t>dL</w:t>
      </w:r>
      <w:r>
        <w:rPr>
          <w:sz w:val="20"/>
          <w:szCs w:val="20"/>
        </w:rPr>
        <w:t xml:space="preserve"> (p = 0.002), while no significant change was noted in the T2DM with comorbidities group (p = 0.591). No significant changes </w:t>
      </w:r>
      <w:r>
        <w:rPr>
          <w:sz w:val="20"/>
          <w:szCs w:val="20"/>
        </w:rPr>
        <w:t>were observed</w:t>
      </w:r>
      <w:r>
        <w:rPr>
          <w:sz w:val="20"/>
          <w:szCs w:val="20"/>
        </w:rPr>
        <w:t xml:space="preserve"> in ACR or </w:t>
      </w:r>
      <w:r>
        <w:rPr>
          <w:sz w:val="20"/>
          <w:szCs w:val="20"/>
        </w:rPr>
        <w:t>eGFR</w:t>
      </w:r>
      <w:r>
        <w:rPr>
          <w:sz w:val="20"/>
          <w:szCs w:val="20"/>
        </w:rPr>
        <w:t xml:space="preserve"> in either group.</w:t>
      </w:r>
    </w:p>
    <w:p>
      <w:pPr>
        <w:pStyle w:val="style0"/>
        <w:rPr>
          <w:sz w:val="20"/>
          <w:szCs w:val="20"/>
        </w:rPr>
      </w:pPr>
      <w:r>
        <w:rPr>
          <w:sz w:val="20"/>
          <w:szCs w:val="20"/>
        </w:rPr>
        <w:t xml:space="preserve">When comparing the mean changes in laboratory data post-treatment between the two groups (Table 5), several significant differences </w:t>
      </w:r>
      <w:r>
        <w:rPr>
          <w:sz w:val="20"/>
          <w:szCs w:val="20"/>
        </w:rPr>
        <w:t>were observed</w:t>
      </w:r>
      <w:r>
        <w:rPr>
          <w:sz w:val="20"/>
          <w:szCs w:val="20"/>
        </w:rPr>
        <w:t>. The T2DM-only group demonstrated superior glycemic control, with a greater decrease in HbA1c (p &lt; 0.001), higher hemoglobin levels (p = 0.049), and more favorable lipid changes, including higher HDL (p &lt; 0.001) and lower LDL (p &lt; 0.001) levels. The T2DM with comorbidities group showed a higher WBC count (p = 0.037) and a more pronounced reduction in triglycerides (p = 0.010), but no significant differences were found in kidney function markers.</w:t>
      </w:r>
    </w:p>
    <w:p>
      <w:pPr>
        <w:pStyle w:val="style0"/>
        <w:rPr>
          <w:sz w:val="20"/>
          <w:szCs w:val="20"/>
        </w:rPr>
      </w:pPr>
      <w:r>
        <w:rPr>
          <w:sz w:val="20"/>
          <w:szCs w:val="20"/>
        </w:rPr>
        <w:t xml:space="preserve">Regarding adverse effects (Table 6), significant differences </w:t>
      </w:r>
      <w:r>
        <w:rPr>
          <w:sz w:val="20"/>
          <w:szCs w:val="20"/>
        </w:rPr>
        <w:t>were noted</w:t>
      </w:r>
      <w:r>
        <w:rPr>
          <w:sz w:val="20"/>
          <w:szCs w:val="20"/>
        </w:rPr>
        <w:t xml:space="preserve"> between the two groups, particularly in dehydration and diabetic ketoacidosis (DKA). Dehydration was more common in the T2DM with comorbidities group (60% vs. 34.9%, p = 0.018), and DKA occurred in 6.7% of patients in that group compared to none in the T2DM-only group (p = 0.016). No significant differences were observed in the incidence of skin rashes or increased urination (p = 0.092 and p = 0.157, respectively).</w:t>
      </w:r>
    </w:p>
    <w:p>
      <w:pPr>
        <w:pStyle w:val="style0"/>
        <w:rPr>
          <w:sz w:val="20"/>
          <w:szCs w:val="20"/>
        </w:rPr>
      </w:pPr>
    </w:p>
    <w:p>
      <w:pPr>
        <w:pStyle w:val="style0"/>
        <w:rPr>
          <w:sz w:val="20"/>
          <w:szCs w:val="20"/>
        </w:rPr>
      </w:pPr>
    </w:p>
    <w:p>
      <w:pPr>
        <w:pStyle w:val="style0"/>
        <w:rPr>
          <w:sz w:val="20"/>
          <w:szCs w:val="20"/>
        </w:rPr>
      </w:pPr>
    </w:p>
    <w:p>
      <w:pPr>
        <w:pStyle w:val="style0"/>
        <w:spacing w:before="100" w:after="100" w:lineRule="auto" w:line="240"/>
        <w:ind w:firstLine="0"/>
        <w:rPr>
          <w:b/>
          <w:bCs/>
          <w:sz w:val="20"/>
          <w:szCs w:val="20"/>
        </w:rPr>
      </w:pPr>
      <w:r>
        <w:rPr>
          <w:b/>
          <w:bCs/>
          <w:sz w:val="20"/>
          <w:szCs w:val="20"/>
        </w:rPr>
        <w:t>Table 1: Comparison between groups regarding demographic data</w:t>
      </w:r>
    </w:p>
    <w:tbl>
      <w:tblPr>
        <w:tblStyle w:val="style154"/>
        <w:tblW w:w="8662" w:type="dxa"/>
        <w:tblLook w:val="04A0" w:firstRow="1" w:lastRow="0" w:firstColumn="1" w:lastColumn="0" w:noHBand="0" w:noVBand="1"/>
      </w:tblPr>
      <w:tblGrid>
        <w:gridCol w:w="2880"/>
        <w:gridCol w:w="1998"/>
        <w:gridCol w:w="2521"/>
        <w:gridCol w:w="1242"/>
      </w:tblGrid>
      <w:tr>
        <w:trPr>
          <w:trHeight w:val="722" w:hRule="atLeast"/>
        </w:trPr>
        <w:tc>
          <w:tcPr>
            <w:tcW w:w="2887" w:type="dxa"/>
            <w:tcBorders/>
          </w:tcPr>
          <w:p>
            <w:pPr>
              <w:pStyle w:val="style0"/>
              <w:spacing w:before="100" w:after="100"/>
              <w:ind w:firstLine="0"/>
              <w:rPr>
                <w:b/>
                <w:bCs/>
                <w:sz w:val="20"/>
                <w:szCs w:val="20"/>
              </w:rPr>
            </w:pPr>
          </w:p>
        </w:tc>
        <w:tc>
          <w:tcPr>
            <w:tcW w:w="2004" w:type="dxa"/>
            <w:tcBorders/>
            <w:vAlign w:val="center"/>
          </w:tcPr>
          <w:p>
            <w:pPr>
              <w:pStyle w:val="style0"/>
              <w:spacing w:before="100" w:after="100"/>
              <w:ind w:firstLine="0"/>
              <w:jc w:val="center"/>
              <w:rPr>
                <w:b/>
                <w:bCs/>
                <w:sz w:val="20"/>
                <w:szCs w:val="20"/>
              </w:rPr>
            </w:pPr>
            <w:r>
              <w:rPr>
                <w:b/>
                <w:bCs/>
                <w:sz w:val="20"/>
                <w:szCs w:val="20"/>
              </w:rPr>
              <w:t>DM Only</w:t>
            </w:r>
          </w:p>
          <w:p>
            <w:pPr>
              <w:pStyle w:val="style0"/>
              <w:spacing w:before="100" w:after="100"/>
              <w:ind w:firstLine="0"/>
              <w:jc w:val="center"/>
              <w:rPr>
                <w:b/>
                <w:bCs/>
                <w:sz w:val="20"/>
                <w:szCs w:val="20"/>
              </w:rPr>
            </w:pPr>
            <w:r>
              <w:rPr>
                <w:b/>
                <w:bCs/>
                <w:sz w:val="20"/>
                <w:szCs w:val="20"/>
              </w:rPr>
              <w:t>(N=86)</w:t>
            </w:r>
          </w:p>
        </w:tc>
        <w:tc>
          <w:tcPr>
            <w:tcW w:w="2527" w:type="dxa"/>
            <w:tcBorders/>
            <w:vAlign w:val="center"/>
          </w:tcPr>
          <w:p>
            <w:pPr>
              <w:pStyle w:val="style0"/>
              <w:spacing w:before="100" w:after="100"/>
              <w:ind w:firstLine="0"/>
              <w:jc w:val="center"/>
              <w:rPr>
                <w:b/>
                <w:bCs/>
                <w:sz w:val="20"/>
                <w:szCs w:val="20"/>
              </w:rPr>
            </w:pPr>
            <w:r>
              <w:rPr>
                <w:b/>
                <w:bCs/>
                <w:sz w:val="20"/>
                <w:szCs w:val="20"/>
              </w:rPr>
              <w:t>DM with comorbidity</w:t>
            </w:r>
          </w:p>
          <w:p>
            <w:pPr>
              <w:pStyle w:val="style0"/>
              <w:spacing w:before="100" w:after="100"/>
              <w:ind w:firstLine="0"/>
              <w:jc w:val="center"/>
              <w:rPr>
                <w:b/>
                <w:bCs/>
                <w:sz w:val="20"/>
                <w:szCs w:val="20"/>
              </w:rPr>
            </w:pPr>
            <w:r>
              <w:rPr>
                <w:b/>
                <w:bCs/>
                <w:sz w:val="20"/>
                <w:szCs w:val="20"/>
              </w:rPr>
              <w:t>(N=30)</w:t>
            </w:r>
          </w:p>
        </w:tc>
        <w:tc>
          <w:tcPr>
            <w:tcW w:w="1244" w:type="dxa"/>
            <w:tcBorders/>
            <w:vAlign w:val="center"/>
          </w:tcPr>
          <w:p>
            <w:pPr>
              <w:pStyle w:val="style0"/>
              <w:spacing w:before="100" w:after="100"/>
              <w:ind w:firstLine="0"/>
              <w:jc w:val="center"/>
              <w:rPr>
                <w:b/>
                <w:bCs/>
                <w:sz w:val="20"/>
                <w:szCs w:val="20"/>
              </w:rPr>
            </w:pPr>
            <w:r>
              <w:rPr>
                <w:b/>
                <w:bCs/>
                <w:sz w:val="20"/>
                <w:szCs w:val="20"/>
              </w:rPr>
              <w:t>p-Value</w:t>
            </w:r>
          </w:p>
        </w:tc>
      </w:tr>
      <w:tr>
        <w:tblPrEx/>
        <w:trPr>
          <w:trHeight w:val="410" w:hRule="atLeast"/>
        </w:trPr>
        <w:tc>
          <w:tcPr>
            <w:tcW w:w="2887" w:type="dxa"/>
            <w:tcBorders/>
            <w:vAlign w:val="center"/>
          </w:tcPr>
          <w:p>
            <w:pPr>
              <w:pStyle w:val="style0"/>
              <w:spacing w:before="100" w:after="100"/>
              <w:ind w:firstLine="0"/>
              <w:jc w:val="left"/>
              <w:rPr>
                <w:b/>
                <w:bCs/>
                <w:sz w:val="20"/>
                <w:szCs w:val="20"/>
              </w:rPr>
            </w:pPr>
            <w:r>
              <w:rPr>
                <w:b/>
                <w:bCs/>
                <w:sz w:val="20"/>
                <w:szCs w:val="20"/>
              </w:rPr>
              <w:t>Age (years)</w:t>
            </w:r>
          </w:p>
        </w:tc>
        <w:tc>
          <w:tcPr>
            <w:tcW w:w="2004" w:type="dxa"/>
            <w:tcBorders/>
            <w:vAlign w:val="center"/>
          </w:tcPr>
          <w:p>
            <w:pPr>
              <w:pStyle w:val="style0"/>
              <w:spacing w:before="100" w:after="100"/>
              <w:ind w:firstLine="0"/>
              <w:jc w:val="center"/>
              <w:rPr>
                <w:sz w:val="20"/>
                <w:szCs w:val="20"/>
              </w:rPr>
            </w:pPr>
            <w:r>
              <w:rPr>
                <w:sz w:val="20"/>
                <w:szCs w:val="20"/>
              </w:rPr>
              <w:t>53.7 (± 8.1)</w:t>
            </w:r>
          </w:p>
        </w:tc>
        <w:tc>
          <w:tcPr>
            <w:tcW w:w="2527" w:type="dxa"/>
            <w:tcBorders/>
            <w:vAlign w:val="center"/>
          </w:tcPr>
          <w:p>
            <w:pPr>
              <w:pStyle w:val="style0"/>
              <w:spacing w:before="100" w:after="100"/>
              <w:ind w:firstLine="0"/>
              <w:jc w:val="center"/>
              <w:rPr>
                <w:sz w:val="20"/>
                <w:szCs w:val="20"/>
              </w:rPr>
            </w:pPr>
            <w:r>
              <w:rPr>
                <w:sz w:val="20"/>
                <w:szCs w:val="20"/>
              </w:rPr>
              <w:t>57.9 (± 9.7)</w:t>
            </w:r>
          </w:p>
        </w:tc>
        <w:tc>
          <w:tcPr>
            <w:tcW w:w="1244" w:type="dxa"/>
            <w:tcBorders/>
            <w:vAlign w:val="center"/>
          </w:tcPr>
          <w:p>
            <w:pPr>
              <w:pStyle w:val="style0"/>
              <w:spacing w:before="100" w:after="100"/>
              <w:ind w:firstLine="0"/>
              <w:jc w:val="center"/>
              <w:rPr>
                <w:b/>
                <w:bCs/>
                <w:sz w:val="20"/>
                <w:szCs w:val="20"/>
              </w:rPr>
            </w:pPr>
            <w:r>
              <w:rPr>
                <w:b/>
                <w:bCs/>
                <w:sz w:val="20"/>
                <w:szCs w:val="20"/>
              </w:rPr>
              <w:t>0.020*</w:t>
            </w:r>
          </w:p>
        </w:tc>
      </w:tr>
      <w:tr>
        <w:tblPrEx/>
        <w:trPr>
          <w:trHeight w:val="1048" w:hRule="atLeast"/>
        </w:trPr>
        <w:tc>
          <w:tcPr>
            <w:tcW w:w="2887" w:type="dxa"/>
            <w:tcBorders/>
            <w:vAlign w:val="center"/>
          </w:tcPr>
          <w:p>
            <w:pPr>
              <w:pStyle w:val="style0"/>
              <w:spacing w:before="100" w:after="100"/>
              <w:ind w:firstLine="0"/>
              <w:jc w:val="left"/>
              <w:rPr>
                <w:b/>
                <w:bCs/>
                <w:sz w:val="20"/>
                <w:szCs w:val="20"/>
              </w:rPr>
            </w:pPr>
            <w:r>
              <w:rPr>
                <w:b/>
                <w:bCs/>
                <w:sz w:val="20"/>
                <w:szCs w:val="20"/>
              </w:rPr>
              <w:t xml:space="preserve">Gender </w:t>
            </w:r>
          </w:p>
          <w:p>
            <w:pPr>
              <w:pStyle w:val="style0"/>
              <w:spacing w:before="100" w:after="100"/>
              <w:ind w:left="697" w:firstLine="0"/>
              <w:jc w:val="left"/>
              <w:rPr>
                <w:b/>
                <w:bCs/>
                <w:sz w:val="20"/>
                <w:szCs w:val="20"/>
              </w:rPr>
            </w:pPr>
            <w:r>
              <w:rPr>
                <w:b/>
                <w:bCs/>
                <w:sz w:val="20"/>
                <w:szCs w:val="20"/>
              </w:rPr>
              <w:t>Male</w:t>
            </w:r>
          </w:p>
          <w:p>
            <w:pPr>
              <w:pStyle w:val="style0"/>
              <w:spacing w:before="100" w:after="100"/>
              <w:ind w:left="697" w:firstLine="0"/>
              <w:jc w:val="left"/>
              <w:rPr>
                <w:b/>
                <w:bCs/>
                <w:sz w:val="20"/>
                <w:szCs w:val="20"/>
              </w:rPr>
            </w:pPr>
            <w:r>
              <w:rPr>
                <w:b/>
                <w:bCs/>
                <w:sz w:val="20"/>
                <w:szCs w:val="20"/>
              </w:rPr>
              <w:t>Female</w:t>
            </w:r>
          </w:p>
        </w:tc>
        <w:tc>
          <w:tcPr>
            <w:tcW w:w="2004" w:type="dxa"/>
            <w:tcBorders/>
            <w:vAlign w:val="center"/>
          </w:tcPr>
          <w:p>
            <w:pPr>
              <w:pStyle w:val="style0"/>
              <w:spacing w:before="100" w:after="100"/>
              <w:ind w:firstLine="0"/>
              <w:jc w:val="center"/>
              <w:rPr>
                <w:sz w:val="20"/>
                <w:szCs w:val="20"/>
              </w:rPr>
            </w:pPr>
          </w:p>
          <w:p>
            <w:pPr>
              <w:pStyle w:val="style0"/>
              <w:spacing w:before="100" w:after="100"/>
              <w:ind w:firstLine="0"/>
              <w:jc w:val="center"/>
              <w:rPr>
                <w:sz w:val="20"/>
                <w:szCs w:val="20"/>
              </w:rPr>
            </w:pPr>
            <w:r>
              <w:rPr>
                <w:sz w:val="20"/>
                <w:szCs w:val="20"/>
              </w:rPr>
              <w:t>52 (60.5%)</w:t>
            </w:r>
          </w:p>
          <w:p>
            <w:pPr>
              <w:pStyle w:val="style0"/>
              <w:spacing w:before="100" w:after="100"/>
              <w:ind w:firstLine="0"/>
              <w:jc w:val="center"/>
              <w:rPr>
                <w:sz w:val="20"/>
                <w:szCs w:val="20"/>
              </w:rPr>
            </w:pPr>
            <w:r>
              <w:rPr>
                <w:sz w:val="20"/>
                <w:szCs w:val="20"/>
              </w:rPr>
              <w:t>34 (39.5%)</w:t>
            </w:r>
          </w:p>
        </w:tc>
        <w:tc>
          <w:tcPr>
            <w:tcW w:w="2527" w:type="dxa"/>
            <w:tcBorders/>
            <w:vAlign w:val="center"/>
          </w:tcPr>
          <w:p>
            <w:pPr>
              <w:pStyle w:val="style0"/>
              <w:spacing w:before="100" w:after="100"/>
              <w:ind w:firstLine="0"/>
              <w:jc w:val="center"/>
              <w:rPr>
                <w:sz w:val="20"/>
                <w:szCs w:val="20"/>
              </w:rPr>
            </w:pPr>
          </w:p>
          <w:p>
            <w:pPr>
              <w:pStyle w:val="style0"/>
              <w:spacing w:before="100" w:after="100"/>
              <w:ind w:firstLine="0"/>
              <w:jc w:val="center"/>
              <w:rPr>
                <w:sz w:val="20"/>
                <w:szCs w:val="20"/>
              </w:rPr>
            </w:pPr>
            <w:r>
              <w:rPr>
                <w:sz w:val="20"/>
                <w:szCs w:val="20"/>
              </w:rPr>
              <w:t>18 (60%)</w:t>
            </w:r>
          </w:p>
          <w:p>
            <w:pPr>
              <w:pStyle w:val="style0"/>
              <w:spacing w:before="100" w:after="100"/>
              <w:ind w:firstLine="0"/>
              <w:jc w:val="center"/>
              <w:rPr>
                <w:sz w:val="20"/>
                <w:szCs w:val="20"/>
              </w:rPr>
            </w:pPr>
            <w:r>
              <w:rPr>
                <w:sz w:val="20"/>
                <w:szCs w:val="20"/>
              </w:rPr>
              <w:t>12 (40%)</w:t>
            </w:r>
          </w:p>
        </w:tc>
        <w:tc>
          <w:tcPr>
            <w:tcW w:w="1244" w:type="dxa"/>
            <w:tcBorders/>
            <w:vAlign w:val="center"/>
          </w:tcPr>
          <w:p>
            <w:pPr>
              <w:pStyle w:val="style0"/>
              <w:spacing w:before="100" w:after="100"/>
              <w:ind w:firstLine="0"/>
              <w:jc w:val="center"/>
              <w:rPr>
                <w:sz w:val="20"/>
                <w:szCs w:val="20"/>
              </w:rPr>
            </w:pPr>
            <w:r>
              <w:rPr>
                <w:sz w:val="20"/>
                <w:szCs w:val="20"/>
              </w:rPr>
              <w:t>0.964</w:t>
            </w:r>
          </w:p>
        </w:tc>
      </w:tr>
      <w:tr>
        <w:tblPrEx/>
        <w:trPr>
          <w:trHeight w:val="410" w:hRule="atLeast"/>
        </w:trPr>
        <w:tc>
          <w:tcPr>
            <w:tcW w:w="2887" w:type="dxa"/>
            <w:tcBorders/>
            <w:vAlign w:val="center"/>
          </w:tcPr>
          <w:p>
            <w:pPr>
              <w:pStyle w:val="style0"/>
              <w:spacing w:before="100" w:after="100"/>
              <w:ind w:firstLine="0"/>
              <w:jc w:val="left"/>
              <w:rPr>
                <w:b/>
                <w:bCs/>
                <w:sz w:val="20"/>
                <w:szCs w:val="20"/>
              </w:rPr>
            </w:pPr>
            <w:r>
              <w:rPr>
                <w:b/>
                <w:bCs/>
                <w:sz w:val="20"/>
                <w:szCs w:val="20"/>
              </w:rPr>
              <w:t>BMI (kg/m²)</w:t>
            </w:r>
          </w:p>
        </w:tc>
        <w:tc>
          <w:tcPr>
            <w:tcW w:w="2004" w:type="dxa"/>
            <w:tcBorders/>
            <w:vAlign w:val="center"/>
          </w:tcPr>
          <w:p>
            <w:pPr>
              <w:pStyle w:val="style0"/>
              <w:spacing w:before="100" w:after="100"/>
              <w:ind w:firstLine="0"/>
              <w:jc w:val="center"/>
              <w:rPr>
                <w:sz w:val="20"/>
                <w:szCs w:val="20"/>
              </w:rPr>
            </w:pPr>
            <w:r>
              <w:rPr>
                <w:sz w:val="20"/>
                <w:szCs w:val="20"/>
              </w:rPr>
              <w:t>31.6 (± 4.4)</w:t>
            </w:r>
          </w:p>
        </w:tc>
        <w:tc>
          <w:tcPr>
            <w:tcW w:w="2527" w:type="dxa"/>
            <w:tcBorders/>
            <w:vAlign w:val="center"/>
          </w:tcPr>
          <w:p>
            <w:pPr>
              <w:pStyle w:val="style0"/>
              <w:spacing w:before="100" w:after="100"/>
              <w:ind w:firstLine="0"/>
              <w:jc w:val="center"/>
              <w:rPr>
                <w:sz w:val="20"/>
                <w:szCs w:val="20"/>
              </w:rPr>
            </w:pPr>
            <w:r>
              <w:rPr>
                <w:sz w:val="20"/>
                <w:szCs w:val="20"/>
              </w:rPr>
              <w:t>33.5 (± 9.5)</w:t>
            </w:r>
          </w:p>
        </w:tc>
        <w:tc>
          <w:tcPr>
            <w:tcW w:w="1244" w:type="dxa"/>
            <w:tcBorders/>
            <w:vAlign w:val="center"/>
          </w:tcPr>
          <w:p>
            <w:pPr>
              <w:pStyle w:val="style0"/>
              <w:spacing w:before="100" w:after="100"/>
              <w:ind w:firstLine="0"/>
              <w:jc w:val="center"/>
              <w:rPr>
                <w:sz w:val="20"/>
                <w:szCs w:val="20"/>
              </w:rPr>
            </w:pPr>
            <w:r>
              <w:rPr>
                <w:sz w:val="20"/>
                <w:szCs w:val="20"/>
              </w:rPr>
              <w:t>0.282</w:t>
            </w:r>
          </w:p>
        </w:tc>
      </w:tr>
      <w:tr>
        <w:tblPrEx/>
        <w:trPr>
          <w:trHeight w:val="400" w:hRule="atLeast"/>
        </w:trPr>
        <w:tc>
          <w:tcPr>
            <w:tcW w:w="2887" w:type="dxa"/>
            <w:tcBorders/>
            <w:vAlign w:val="center"/>
          </w:tcPr>
          <w:p>
            <w:pPr>
              <w:pStyle w:val="style0"/>
              <w:spacing w:before="100" w:after="100"/>
              <w:ind w:firstLine="0"/>
              <w:jc w:val="left"/>
              <w:rPr>
                <w:b/>
                <w:bCs/>
                <w:sz w:val="20"/>
                <w:szCs w:val="20"/>
              </w:rPr>
            </w:pPr>
            <w:r>
              <w:rPr>
                <w:b/>
                <w:bCs/>
                <w:sz w:val="20"/>
                <w:szCs w:val="20"/>
              </w:rPr>
              <w:t>Diabetes Duration (years)</w:t>
            </w:r>
          </w:p>
        </w:tc>
        <w:tc>
          <w:tcPr>
            <w:tcW w:w="2004" w:type="dxa"/>
            <w:tcBorders/>
            <w:vAlign w:val="center"/>
          </w:tcPr>
          <w:p>
            <w:pPr>
              <w:pStyle w:val="style0"/>
              <w:spacing w:before="100" w:after="100"/>
              <w:ind w:firstLine="0"/>
              <w:jc w:val="center"/>
              <w:rPr>
                <w:sz w:val="20"/>
                <w:szCs w:val="20"/>
              </w:rPr>
            </w:pPr>
            <w:r>
              <w:rPr>
                <w:sz w:val="20"/>
                <w:szCs w:val="20"/>
              </w:rPr>
              <w:t>9.4 (±3.0)</w:t>
            </w:r>
          </w:p>
        </w:tc>
        <w:tc>
          <w:tcPr>
            <w:tcW w:w="2527" w:type="dxa"/>
            <w:tcBorders/>
            <w:vAlign w:val="center"/>
          </w:tcPr>
          <w:p>
            <w:pPr>
              <w:pStyle w:val="style0"/>
              <w:spacing w:before="100" w:after="100"/>
              <w:ind w:firstLine="0"/>
              <w:jc w:val="center"/>
              <w:rPr>
                <w:sz w:val="20"/>
                <w:szCs w:val="20"/>
              </w:rPr>
            </w:pPr>
            <w:r>
              <w:rPr>
                <w:sz w:val="20"/>
                <w:szCs w:val="20"/>
              </w:rPr>
              <w:t>12.6 (±3.2)</w:t>
            </w:r>
          </w:p>
        </w:tc>
        <w:tc>
          <w:tcPr>
            <w:tcW w:w="1244" w:type="dxa"/>
            <w:tcBorders/>
            <w:vAlign w:val="center"/>
          </w:tcPr>
          <w:p>
            <w:pPr>
              <w:pStyle w:val="style0"/>
              <w:spacing w:before="100" w:after="100"/>
              <w:ind w:firstLine="0"/>
              <w:jc w:val="center"/>
              <w:rPr>
                <w:b/>
                <w:bCs/>
                <w:sz w:val="20"/>
                <w:szCs w:val="20"/>
              </w:rPr>
            </w:pPr>
            <w:r>
              <w:rPr>
                <w:b/>
                <w:bCs/>
                <w:sz w:val="20"/>
                <w:szCs w:val="20"/>
              </w:rPr>
              <w:t>&lt; 0.001*</w:t>
            </w:r>
          </w:p>
        </w:tc>
      </w:tr>
    </w:tbl>
    <w:p>
      <w:pPr>
        <w:pStyle w:val="style0"/>
        <w:spacing w:before="100" w:after="100" w:lineRule="auto" w:line="240"/>
        <w:ind w:firstLine="0"/>
        <w:rPr>
          <w:sz w:val="20"/>
          <w:szCs w:val="20"/>
        </w:rPr>
      </w:pPr>
      <w:r>
        <w:rPr>
          <w:sz w:val="20"/>
          <w:szCs w:val="20"/>
        </w:rPr>
        <w:t>*p Value is significant</w:t>
      </w:r>
    </w:p>
    <w:p>
      <w:pPr>
        <w:pStyle w:val="style0"/>
        <w:spacing w:before="100" w:after="100" w:lineRule="auto" w:line="240"/>
        <w:ind w:firstLine="0"/>
        <w:rPr>
          <w:b/>
          <w:bCs/>
          <w:sz w:val="20"/>
          <w:szCs w:val="20"/>
        </w:rPr>
      </w:pPr>
    </w:p>
    <w:p>
      <w:pPr>
        <w:pStyle w:val="style0"/>
        <w:spacing w:before="100" w:after="100" w:lineRule="auto" w:line="240"/>
        <w:ind w:firstLine="0"/>
        <w:rPr>
          <w:b/>
          <w:bCs/>
          <w:sz w:val="20"/>
          <w:szCs w:val="20"/>
        </w:rPr>
      </w:pPr>
      <w:r>
        <w:rPr>
          <w:b/>
          <w:bCs/>
          <w:sz w:val="20"/>
          <w:szCs w:val="20"/>
        </w:rPr>
        <w:t xml:space="preserve">Table 2: Comparison between </w:t>
      </w:r>
      <w:r>
        <w:rPr>
          <w:b/>
          <w:bCs/>
          <w:sz w:val="20"/>
          <w:szCs w:val="20"/>
        </w:rPr>
        <w:t>hematological and g</w:t>
      </w:r>
      <w:r>
        <w:rPr>
          <w:b/>
          <w:bCs/>
          <w:sz w:val="20"/>
          <w:szCs w:val="20"/>
        </w:rPr>
        <w:t>lycemic data before and after the treatment in each group</w:t>
      </w:r>
    </w:p>
    <w:tbl>
      <w:tblPr>
        <w:tblStyle w:val="style154"/>
        <w:tblW w:w="5084" w:type="pct"/>
        <w:tblLook w:val="04A0" w:firstRow="1" w:lastRow="0" w:firstColumn="1" w:lastColumn="0" w:noHBand="0" w:noVBand="1"/>
      </w:tblPr>
      <w:tblGrid>
        <w:gridCol w:w="1702"/>
        <w:gridCol w:w="1244"/>
        <w:gridCol w:w="1244"/>
        <w:gridCol w:w="968"/>
        <w:gridCol w:w="1251"/>
        <w:gridCol w:w="1244"/>
        <w:gridCol w:w="1114"/>
      </w:tblGrid>
      <w:tr>
        <w:trPr>
          <w:trHeight w:val="339" w:hRule="atLeast"/>
        </w:trPr>
        <w:tc>
          <w:tcPr>
            <w:tcW w:w="970" w:type="pct"/>
            <w:vMerge w:val="restart"/>
            <w:tcBorders/>
          </w:tcPr>
          <w:p>
            <w:pPr>
              <w:pStyle w:val="style0"/>
              <w:spacing w:before="100" w:after="100"/>
              <w:ind w:firstLine="0"/>
              <w:rPr>
                <w:sz w:val="20"/>
                <w:szCs w:val="20"/>
              </w:rPr>
            </w:pPr>
          </w:p>
        </w:tc>
        <w:tc>
          <w:tcPr>
            <w:tcW w:w="1972" w:type="pct"/>
            <w:gridSpan w:val="3"/>
            <w:tcBorders/>
            <w:vAlign w:val="center"/>
          </w:tcPr>
          <w:p>
            <w:pPr>
              <w:pStyle w:val="style0"/>
              <w:spacing w:before="100" w:after="100"/>
              <w:ind w:firstLine="0"/>
              <w:jc w:val="center"/>
              <w:rPr>
                <w:b/>
                <w:bCs/>
                <w:sz w:val="20"/>
                <w:szCs w:val="20"/>
              </w:rPr>
            </w:pPr>
            <w:r>
              <w:rPr>
                <w:b/>
                <w:bCs/>
                <w:sz w:val="20"/>
                <w:szCs w:val="20"/>
              </w:rPr>
              <w:t>DM Only</w:t>
            </w:r>
          </w:p>
          <w:p>
            <w:pPr>
              <w:pStyle w:val="style0"/>
              <w:spacing w:before="100" w:after="100"/>
              <w:ind w:firstLine="0"/>
              <w:jc w:val="center"/>
              <w:rPr>
                <w:b/>
                <w:bCs/>
                <w:sz w:val="20"/>
                <w:szCs w:val="20"/>
              </w:rPr>
            </w:pPr>
            <w:r>
              <w:rPr>
                <w:b/>
                <w:bCs/>
                <w:sz w:val="20"/>
                <w:szCs w:val="20"/>
              </w:rPr>
              <w:t>(N=86)</w:t>
            </w:r>
          </w:p>
        </w:tc>
        <w:tc>
          <w:tcPr>
            <w:tcW w:w="2058" w:type="pct"/>
            <w:gridSpan w:val="3"/>
            <w:tcBorders/>
            <w:vAlign w:val="center"/>
          </w:tcPr>
          <w:p>
            <w:pPr>
              <w:pStyle w:val="style0"/>
              <w:spacing w:before="100" w:after="100"/>
              <w:ind w:firstLine="0"/>
              <w:jc w:val="center"/>
              <w:rPr>
                <w:b/>
                <w:bCs/>
                <w:sz w:val="20"/>
                <w:szCs w:val="20"/>
              </w:rPr>
            </w:pPr>
            <w:r>
              <w:rPr>
                <w:b/>
                <w:bCs/>
                <w:sz w:val="20"/>
                <w:szCs w:val="20"/>
              </w:rPr>
              <w:t>DM with comorbidity</w:t>
            </w:r>
          </w:p>
          <w:p>
            <w:pPr>
              <w:pStyle w:val="style0"/>
              <w:spacing w:before="100" w:after="100"/>
              <w:ind w:firstLine="0"/>
              <w:jc w:val="center"/>
              <w:rPr>
                <w:b/>
                <w:bCs/>
                <w:sz w:val="20"/>
                <w:szCs w:val="20"/>
              </w:rPr>
            </w:pPr>
            <w:r>
              <w:rPr>
                <w:b/>
                <w:bCs/>
                <w:sz w:val="20"/>
                <w:szCs w:val="20"/>
              </w:rPr>
              <w:t>(N=30)</w:t>
            </w:r>
          </w:p>
        </w:tc>
      </w:tr>
      <w:tr>
        <w:tblPrEx/>
        <w:trPr>
          <w:trHeight w:val="352" w:hRule="atLeast"/>
        </w:trPr>
        <w:tc>
          <w:tcPr>
            <w:tcW w:w="970" w:type="pct"/>
            <w:vMerge w:val="continue"/>
            <w:tcBorders/>
          </w:tcPr>
          <w:p>
            <w:pPr>
              <w:pStyle w:val="style0"/>
              <w:spacing w:before="100" w:after="100"/>
              <w:ind w:firstLine="0"/>
              <w:rPr>
                <w:sz w:val="20"/>
                <w:szCs w:val="20"/>
              </w:rPr>
            </w:pPr>
          </w:p>
        </w:tc>
        <w:tc>
          <w:tcPr>
            <w:tcW w:w="709" w:type="pct"/>
            <w:tcBorders/>
            <w:vAlign w:val="center"/>
          </w:tcPr>
          <w:p>
            <w:pPr>
              <w:pStyle w:val="style0"/>
              <w:spacing w:before="100" w:after="100"/>
              <w:ind w:firstLine="0"/>
              <w:jc w:val="center"/>
              <w:rPr>
                <w:b/>
                <w:bCs/>
                <w:sz w:val="20"/>
                <w:szCs w:val="20"/>
              </w:rPr>
            </w:pPr>
            <w:r>
              <w:rPr>
                <w:b/>
                <w:bCs/>
                <w:sz w:val="20"/>
                <w:szCs w:val="20"/>
              </w:rPr>
              <w:t>Before</w:t>
            </w:r>
          </w:p>
          <w:p>
            <w:pPr>
              <w:pStyle w:val="style0"/>
              <w:spacing w:before="100" w:after="100"/>
              <w:ind w:firstLine="0"/>
              <w:jc w:val="center"/>
              <w:rPr>
                <w:b/>
                <w:bCs/>
                <w:sz w:val="20"/>
                <w:szCs w:val="20"/>
              </w:rPr>
            </w:pPr>
            <w:r>
              <w:rPr>
                <w:b/>
                <w:bCs/>
                <w:sz w:val="20"/>
                <w:szCs w:val="20"/>
              </w:rPr>
              <w:t>treatment</w:t>
            </w:r>
          </w:p>
        </w:tc>
        <w:tc>
          <w:tcPr>
            <w:tcW w:w="709" w:type="pct"/>
            <w:tcBorders/>
            <w:vAlign w:val="center"/>
          </w:tcPr>
          <w:p>
            <w:pPr>
              <w:pStyle w:val="style0"/>
              <w:spacing w:before="100" w:after="100"/>
              <w:ind w:firstLine="0"/>
              <w:jc w:val="center"/>
              <w:rPr>
                <w:b/>
                <w:bCs/>
                <w:sz w:val="20"/>
                <w:szCs w:val="20"/>
              </w:rPr>
            </w:pPr>
            <w:r>
              <w:rPr>
                <w:b/>
                <w:bCs/>
                <w:sz w:val="20"/>
                <w:szCs w:val="20"/>
              </w:rPr>
              <w:t>After</w:t>
            </w:r>
          </w:p>
          <w:p>
            <w:pPr>
              <w:pStyle w:val="style0"/>
              <w:spacing w:before="100" w:after="100"/>
              <w:ind w:firstLine="0"/>
              <w:jc w:val="center"/>
              <w:rPr>
                <w:b/>
                <w:bCs/>
                <w:sz w:val="20"/>
                <w:szCs w:val="20"/>
              </w:rPr>
            </w:pPr>
            <w:r>
              <w:rPr>
                <w:b/>
                <w:bCs/>
                <w:sz w:val="20"/>
                <w:szCs w:val="20"/>
              </w:rPr>
              <w:t>treatment</w:t>
            </w:r>
          </w:p>
        </w:tc>
        <w:tc>
          <w:tcPr>
            <w:tcW w:w="552" w:type="pct"/>
            <w:vMerge w:val="restart"/>
            <w:tcBorders/>
            <w:vAlign w:val="center"/>
          </w:tcPr>
          <w:p>
            <w:pPr>
              <w:pStyle w:val="style0"/>
              <w:spacing w:before="100" w:after="100"/>
              <w:ind w:firstLine="0"/>
              <w:jc w:val="center"/>
              <w:rPr>
                <w:b/>
                <w:bCs/>
                <w:sz w:val="20"/>
                <w:szCs w:val="20"/>
              </w:rPr>
            </w:pPr>
            <w:r>
              <w:rPr>
                <w:b/>
                <w:bCs/>
                <w:sz w:val="20"/>
                <w:szCs w:val="20"/>
              </w:rPr>
              <w:t>p-Value</w:t>
            </w:r>
          </w:p>
        </w:tc>
        <w:tc>
          <w:tcPr>
            <w:tcW w:w="713" w:type="pct"/>
            <w:tcBorders/>
            <w:vAlign w:val="center"/>
          </w:tcPr>
          <w:p>
            <w:pPr>
              <w:pStyle w:val="style0"/>
              <w:spacing w:before="100" w:after="100"/>
              <w:ind w:firstLine="0"/>
              <w:jc w:val="center"/>
              <w:rPr>
                <w:b/>
                <w:bCs/>
                <w:sz w:val="20"/>
                <w:szCs w:val="20"/>
              </w:rPr>
            </w:pPr>
            <w:r>
              <w:rPr>
                <w:b/>
                <w:bCs/>
                <w:sz w:val="20"/>
                <w:szCs w:val="20"/>
              </w:rPr>
              <w:t>Before</w:t>
            </w:r>
          </w:p>
          <w:p>
            <w:pPr>
              <w:pStyle w:val="style0"/>
              <w:spacing w:before="100" w:after="100"/>
              <w:ind w:firstLine="0"/>
              <w:jc w:val="center"/>
              <w:rPr>
                <w:b/>
                <w:bCs/>
                <w:sz w:val="20"/>
                <w:szCs w:val="20"/>
              </w:rPr>
            </w:pPr>
            <w:r>
              <w:rPr>
                <w:b/>
                <w:bCs/>
                <w:sz w:val="20"/>
                <w:szCs w:val="20"/>
              </w:rPr>
              <w:t>treatment</w:t>
            </w:r>
          </w:p>
        </w:tc>
        <w:tc>
          <w:tcPr>
            <w:tcW w:w="709" w:type="pct"/>
            <w:tcBorders/>
            <w:vAlign w:val="center"/>
          </w:tcPr>
          <w:p>
            <w:pPr>
              <w:pStyle w:val="style0"/>
              <w:spacing w:before="100" w:after="100"/>
              <w:ind w:firstLine="0"/>
              <w:jc w:val="center"/>
              <w:rPr>
                <w:b/>
                <w:bCs/>
                <w:sz w:val="20"/>
                <w:szCs w:val="20"/>
              </w:rPr>
            </w:pPr>
            <w:r>
              <w:rPr>
                <w:b/>
                <w:bCs/>
                <w:sz w:val="20"/>
                <w:szCs w:val="20"/>
              </w:rPr>
              <w:t>After</w:t>
            </w:r>
          </w:p>
          <w:p>
            <w:pPr>
              <w:pStyle w:val="style0"/>
              <w:spacing w:before="100" w:after="100"/>
              <w:ind w:firstLine="0"/>
              <w:jc w:val="center"/>
              <w:rPr>
                <w:b/>
                <w:bCs/>
                <w:sz w:val="20"/>
                <w:szCs w:val="20"/>
              </w:rPr>
            </w:pPr>
            <w:r>
              <w:rPr>
                <w:b/>
                <w:bCs/>
                <w:sz w:val="20"/>
                <w:szCs w:val="20"/>
              </w:rPr>
              <w:t>treatment</w:t>
            </w:r>
          </w:p>
        </w:tc>
        <w:tc>
          <w:tcPr>
            <w:tcW w:w="635" w:type="pct"/>
            <w:vMerge w:val="restart"/>
            <w:tcBorders/>
            <w:vAlign w:val="center"/>
          </w:tcPr>
          <w:p>
            <w:pPr>
              <w:pStyle w:val="style0"/>
              <w:spacing w:before="100" w:after="100"/>
              <w:ind w:firstLine="0"/>
              <w:jc w:val="center"/>
              <w:rPr>
                <w:b/>
                <w:bCs/>
                <w:sz w:val="20"/>
                <w:szCs w:val="20"/>
              </w:rPr>
            </w:pPr>
            <w:r>
              <w:rPr>
                <w:b/>
                <w:bCs/>
                <w:sz w:val="20"/>
                <w:szCs w:val="20"/>
              </w:rPr>
              <w:t>p-Value</w:t>
            </w:r>
          </w:p>
        </w:tc>
      </w:tr>
      <w:tr>
        <w:tblPrEx/>
        <w:trPr>
          <w:trHeight w:val="352" w:hRule="atLeast"/>
        </w:trPr>
        <w:tc>
          <w:tcPr>
            <w:tcW w:w="970" w:type="pct"/>
            <w:vMerge w:val="continue"/>
            <w:tcBorders/>
          </w:tcPr>
          <w:p>
            <w:pPr>
              <w:pStyle w:val="style0"/>
              <w:spacing w:before="100" w:after="100"/>
              <w:ind w:firstLine="0"/>
              <w:rPr>
                <w:sz w:val="20"/>
                <w:szCs w:val="20"/>
              </w:rPr>
            </w:pPr>
          </w:p>
        </w:tc>
        <w:tc>
          <w:tcPr>
            <w:tcW w:w="709" w:type="pct"/>
            <w:tcBorders/>
            <w:vAlign w:val="center"/>
          </w:tcPr>
          <w:p>
            <w:pPr>
              <w:pStyle w:val="style0"/>
              <w:spacing w:before="100" w:after="100"/>
              <w:ind w:firstLine="0"/>
              <w:rPr>
                <w:b/>
                <w:bCs/>
                <w:sz w:val="20"/>
                <w:szCs w:val="20"/>
              </w:rPr>
            </w:pPr>
            <w:r>
              <w:rPr>
                <w:b/>
                <w:bCs/>
                <w:sz w:val="20"/>
                <w:szCs w:val="20"/>
              </w:rPr>
              <w:t>Mean ±SD</w:t>
            </w:r>
          </w:p>
        </w:tc>
        <w:tc>
          <w:tcPr>
            <w:tcW w:w="709" w:type="pct"/>
            <w:tcBorders/>
            <w:vAlign w:val="center"/>
          </w:tcPr>
          <w:p>
            <w:pPr>
              <w:pStyle w:val="style0"/>
              <w:spacing w:before="100" w:after="100"/>
              <w:ind w:firstLine="0"/>
              <w:rPr>
                <w:b/>
                <w:bCs/>
                <w:sz w:val="20"/>
                <w:szCs w:val="20"/>
              </w:rPr>
            </w:pPr>
            <w:r>
              <w:rPr>
                <w:b/>
                <w:bCs/>
                <w:sz w:val="20"/>
                <w:szCs w:val="20"/>
              </w:rPr>
              <w:t>Mean ±SD</w:t>
            </w:r>
          </w:p>
        </w:tc>
        <w:tc>
          <w:tcPr>
            <w:tcW w:w="552" w:type="pct"/>
            <w:vMerge w:val="continue"/>
            <w:tcBorders/>
            <w:vAlign w:val="center"/>
          </w:tcPr>
          <w:p>
            <w:pPr>
              <w:pStyle w:val="style0"/>
              <w:spacing w:before="100" w:after="100"/>
              <w:ind w:firstLine="0"/>
              <w:jc w:val="center"/>
              <w:rPr>
                <w:b/>
                <w:bCs/>
                <w:sz w:val="20"/>
                <w:szCs w:val="20"/>
              </w:rPr>
            </w:pPr>
          </w:p>
        </w:tc>
        <w:tc>
          <w:tcPr>
            <w:tcW w:w="713" w:type="pct"/>
            <w:tcBorders/>
            <w:vAlign w:val="center"/>
          </w:tcPr>
          <w:p>
            <w:pPr>
              <w:pStyle w:val="style0"/>
              <w:spacing w:before="100" w:after="100"/>
              <w:ind w:firstLine="0"/>
              <w:rPr>
                <w:b/>
                <w:bCs/>
                <w:sz w:val="20"/>
                <w:szCs w:val="20"/>
              </w:rPr>
            </w:pPr>
            <w:r>
              <w:rPr>
                <w:b/>
                <w:bCs/>
                <w:sz w:val="20"/>
                <w:szCs w:val="20"/>
              </w:rPr>
              <w:t>Mean ±SD</w:t>
            </w:r>
          </w:p>
        </w:tc>
        <w:tc>
          <w:tcPr>
            <w:tcW w:w="709" w:type="pct"/>
            <w:tcBorders/>
            <w:vAlign w:val="center"/>
          </w:tcPr>
          <w:p>
            <w:pPr>
              <w:pStyle w:val="style0"/>
              <w:spacing w:before="100" w:after="100"/>
              <w:ind w:firstLine="0"/>
              <w:rPr>
                <w:b/>
                <w:bCs/>
                <w:sz w:val="20"/>
                <w:szCs w:val="20"/>
              </w:rPr>
            </w:pPr>
            <w:r>
              <w:rPr>
                <w:b/>
                <w:bCs/>
                <w:sz w:val="20"/>
                <w:szCs w:val="20"/>
              </w:rPr>
              <w:t>Mean ±SD</w:t>
            </w:r>
          </w:p>
        </w:tc>
        <w:tc>
          <w:tcPr>
            <w:tcW w:w="635" w:type="pct"/>
            <w:vMerge w:val="continue"/>
            <w:tcBorders/>
            <w:vAlign w:val="center"/>
          </w:tcPr>
          <w:p>
            <w:pPr>
              <w:pStyle w:val="style0"/>
              <w:spacing w:before="100" w:after="100"/>
              <w:ind w:firstLine="0"/>
              <w:jc w:val="center"/>
              <w:rPr>
                <w:b/>
                <w:bCs/>
                <w:sz w:val="20"/>
                <w:szCs w:val="20"/>
              </w:rPr>
            </w:pPr>
          </w:p>
        </w:tc>
      </w:tr>
      <w:tr>
        <w:tblPrEx/>
        <w:trPr>
          <w:trHeight w:val="304" w:hRule="atLeast"/>
        </w:trPr>
        <w:tc>
          <w:tcPr>
            <w:tcW w:w="970" w:type="pct"/>
            <w:tcBorders/>
          </w:tcPr>
          <w:p>
            <w:pPr>
              <w:pStyle w:val="style0"/>
              <w:spacing w:before="100" w:after="100"/>
              <w:ind w:firstLine="0"/>
              <w:rPr>
                <w:b/>
                <w:bCs/>
                <w:sz w:val="20"/>
                <w:szCs w:val="20"/>
              </w:rPr>
            </w:pPr>
            <w:r>
              <w:rPr>
                <w:b/>
                <w:bCs/>
                <w:sz w:val="20"/>
                <w:szCs w:val="20"/>
              </w:rPr>
              <w:t>Hemoglobin (g/</w:t>
            </w:r>
            <w:r>
              <w:rPr>
                <w:b/>
                <w:bCs/>
                <w:sz w:val="20"/>
                <w:szCs w:val="20"/>
              </w:rPr>
              <w:t>dL</w:t>
            </w:r>
            <w:r>
              <w:rPr>
                <w:b/>
                <w:bCs/>
                <w:sz w:val="20"/>
                <w:szCs w:val="20"/>
              </w:rPr>
              <w:t>)</w:t>
            </w:r>
          </w:p>
        </w:tc>
        <w:tc>
          <w:tcPr>
            <w:tcW w:w="709" w:type="pct"/>
            <w:tcBorders/>
            <w:vAlign w:val="center"/>
          </w:tcPr>
          <w:p>
            <w:pPr>
              <w:pStyle w:val="style0"/>
              <w:spacing w:before="100" w:after="100"/>
              <w:ind w:firstLine="0"/>
              <w:jc w:val="center"/>
              <w:rPr>
                <w:sz w:val="20"/>
                <w:szCs w:val="20"/>
              </w:rPr>
            </w:pPr>
            <w:r>
              <w:rPr>
                <w:sz w:val="20"/>
                <w:szCs w:val="20"/>
              </w:rPr>
              <w:t>13.3 (±1.8)</w:t>
            </w:r>
          </w:p>
        </w:tc>
        <w:tc>
          <w:tcPr>
            <w:tcW w:w="709" w:type="pct"/>
            <w:tcBorders/>
            <w:vAlign w:val="center"/>
          </w:tcPr>
          <w:p>
            <w:pPr>
              <w:pStyle w:val="style0"/>
              <w:spacing w:before="100" w:after="100"/>
              <w:ind w:firstLine="0"/>
              <w:jc w:val="center"/>
              <w:rPr>
                <w:sz w:val="20"/>
                <w:szCs w:val="20"/>
              </w:rPr>
            </w:pPr>
            <w:r>
              <w:rPr>
                <w:sz w:val="20"/>
                <w:szCs w:val="20"/>
              </w:rPr>
              <w:t>13.8 (±1.5)</w:t>
            </w:r>
          </w:p>
        </w:tc>
        <w:tc>
          <w:tcPr>
            <w:tcW w:w="552" w:type="pct"/>
            <w:tcBorders/>
            <w:vAlign w:val="center"/>
          </w:tcPr>
          <w:p>
            <w:pPr>
              <w:pStyle w:val="style0"/>
              <w:spacing w:before="100" w:after="100"/>
              <w:ind w:firstLine="0"/>
              <w:jc w:val="center"/>
              <w:rPr>
                <w:sz w:val="20"/>
                <w:szCs w:val="20"/>
              </w:rPr>
            </w:pPr>
            <w:r>
              <w:rPr>
                <w:sz w:val="20"/>
                <w:szCs w:val="20"/>
              </w:rPr>
              <w:t>&lt; 0.001</w:t>
            </w:r>
          </w:p>
        </w:tc>
        <w:tc>
          <w:tcPr>
            <w:tcW w:w="713" w:type="pct"/>
            <w:tcBorders/>
            <w:vAlign w:val="center"/>
          </w:tcPr>
          <w:p>
            <w:pPr>
              <w:pStyle w:val="style0"/>
              <w:spacing w:before="100" w:after="100"/>
              <w:ind w:firstLine="0"/>
              <w:jc w:val="center"/>
              <w:rPr>
                <w:sz w:val="20"/>
                <w:szCs w:val="20"/>
              </w:rPr>
            </w:pPr>
            <w:r>
              <w:rPr>
                <w:sz w:val="20"/>
                <w:szCs w:val="20"/>
              </w:rPr>
              <w:t>12.8 (±1.6)</w:t>
            </w:r>
          </w:p>
        </w:tc>
        <w:tc>
          <w:tcPr>
            <w:tcW w:w="709" w:type="pct"/>
            <w:tcBorders/>
            <w:vAlign w:val="center"/>
          </w:tcPr>
          <w:p>
            <w:pPr>
              <w:pStyle w:val="style0"/>
              <w:spacing w:before="100" w:after="100"/>
              <w:ind w:firstLine="0"/>
              <w:jc w:val="center"/>
              <w:rPr>
                <w:sz w:val="20"/>
                <w:szCs w:val="20"/>
              </w:rPr>
            </w:pPr>
            <w:r>
              <w:rPr>
                <w:sz w:val="20"/>
                <w:szCs w:val="20"/>
              </w:rPr>
              <w:t>13.2 (±1.8)</w:t>
            </w:r>
          </w:p>
        </w:tc>
        <w:tc>
          <w:tcPr>
            <w:tcW w:w="635" w:type="pct"/>
            <w:tcBorders/>
            <w:vAlign w:val="center"/>
          </w:tcPr>
          <w:p>
            <w:pPr>
              <w:pStyle w:val="style0"/>
              <w:spacing w:before="100" w:after="100"/>
              <w:ind w:firstLine="0"/>
              <w:jc w:val="center"/>
              <w:rPr>
                <w:b/>
                <w:bCs/>
                <w:sz w:val="20"/>
                <w:szCs w:val="20"/>
              </w:rPr>
            </w:pPr>
            <w:r>
              <w:rPr>
                <w:b/>
                <w:bCs/>
                <w:sz w:val="20"/>
                <w:szCs w:val="20"/>
              </w:rPr>
              <w:t>0.042*</w:t>
            </w:r>
          </w:p>
        </w:tc>
      </w:tr>
      <w:tr>
        <w:tblPrEx/>
        <w:trPr>
          <w:trHeight w:val="304" w:hRule="atLeast"/>
        </w:trPr>
        <w:tc>
          <w:tcPr>
            <w:tcW w:w="970" w:type="pct"/>
            <w:tcBorders/>
          </w:tcPr>
          <w:p>
            <w:pPr>
              <w:pStyle w:val="style0"/>
              <w:spacing w:before="100" w:after="100"/>
              <w:ind w:firstLine="0"/>
              <w:rPr>
                <w:b/>
                <w:bCs/>
                <w:sz w:val="20"/>
                <w:szCs w:val="20"/>
              </w:rPr>
            </w:pPr>
            <w:r>
              <w:rPr>
                <w:b/>
                <w:bCs/>
                <w:sz w:val="20"/>
                <w:szCs w:val="20"/>
              </w:rPr>
              <w:t>WBC (x10</w:t>
            </w:r>
            <w:r>
              <w:rPr>
                <w:b/>
                <w:bCs/>
                <w:sz w:val="20"/>
                <w:szCs w:val="20"/>
                <w:vertAlign w:val="superscript"/>
              </w:rPr>
              <w:t>3</w:t>
            </w:r>
            <w:r>
              <w:rPr>
                <w:b/>
                <w:bCs/>
                <w:sz w:val="20"/>
                <w:szCs w:val="20"/>
              </w:rPr>
              <w:t>/µL)</w:t>
            </w:r>
          </w:p>
        </w:tc>
        <w:tc>
          <w:tcPr>
            <w:tcW w:w="709" w:type="pct"/>
            <w:tcBorders/>
            <w:vAlign w:val="center"/>
          </w:tcPr>
          <w:p>
            <w:pPr>
              <w:pStyle w:val="style0"/>
              <w:spacing w:before="100" w:after="100"/>
              <w:ind w:firstLine="0"/>
              <w:jc w:val="center"/>
              <w:rPr>
                <w:sz w:val="20"/>
                <w:szCs w:val="20"/>
              </w:rPr>
            </w:pPr>
            <w:r>
              <w:rPr>
                <w:sz w:val="20"/>
                <w:szCs w:val="20"/>
              </w:rPr>
              <w:t>6.7 (± 1.8)</w:t>
            </w:r>
          </w:p>
        </w:tc>
        <w:tc>
          <w:tcPr>
            <w:tcW w:w="709" w:type="pct"/>
            <w:tcBorders/>
            <w:vAlign w:val="center"/>
          </w:tcPr>
          <w:p>
            <w:pPr>
              <w:pStyle w:val="style0"/>
              <w:spacing w:before="100" w:after="100"/>
              <w:ind w:firstLine="0"/>
              <w:jc w:val="center"/>
              <w:rPr>
                <w:sz w:val="20"/>
                <w:szCs w:val="20"/>
              </w:rPr>
            </w:pPr>
            <w:r>
              <w:rPr>
                <w:sz w:val="20"/>
                <w:szCs w:val="20"/>
              </w:rPr>
              <w:t>7.0 (±1.7)</w:t>
            </w:r>
          </w:p>
        </w:tc>
        <w:tc>
          <w:tcPr>
            <w:tcW w:w="552" w:type="pct"/>
            <w:tcBorders/>
            <w:vAlign w:val="center"/>
          </w:tcPr>
          <w:p>
            <w:pPr>
              <w:pStyle w:val="style0"/>
              <w:spacing w:before="100" w:after="100"/>
              <w:ind w:firstLine="0"/>
              <w:jc w:val="center"/>
              <w:rPr>
                <w:sz w:val="20"/>
                <w:szCs w:val="20"/>
              </w:rPr>
            </w:pPr>
            <w:r>
              <w:rPr>
                <w:sz w:val="20"/>
                <w:szCs w:val="20"/>
              </w:rPr>
              <w:t>0.002</w:t>
            </w:r>
          </w:p>
        </w:tc>
        <w:tc>
          <w:tcPr>
            <w:tcW w:w="713" w:type="pct"/>
            <w:tcBorders/>
            <w:vAlign w:val="center"/>
          </w:tcPr>
          <w:p>
            <w:pPr>
              <w:pStyle w:val="style0"/>
              <w:spacing w:before="100" w:after="100"/>
              <w:ind w:firstLine="0"/>
              <w:jc w:val="center"/>
              <w:rPr>
                <w:sz w:val="20"/>
                <w:szCs w:val="20"/>
              </w:rPr>
            </w:pPr>
            <w:r>
              <w:rPr>
                <w:sz w:val="20"/>
                <w:szCs w:val="20"/>
              </w:rPr>
              <w:t>6.1 (±2.1)</w:t>
            </w:r>
          </w:p>
        </w:tc>
        <w:tc>
          <w:tcPr>
            <w:tcW w:w="709" w:type="pct"/>
            <w:tcBorders/>
            <w:vAlign w:val="center"/>
          </w:tcPr>
          <w:p>
            <w:pPr>
              <w:pStyle w:val="style0"/>
              <w:spacing w:before="100" w:after="100"/>
              <w:ind w:firstLine="0"/>
              <w:jc w:val="center"/>
              <w:rPr>
                <w:sz w:val="20"/>
                <w:szCs w:val="20"/>
              </w:rPr>
            </w:pPr>
            <w:r>
              <w:rPr>
                <w:sz w:val="20"/>
                <w:szCs w:val="20"/>
              </w:rPr>
              <w:t>6.6 (±1.6)</w:t>
            </w:r>
          </w:p>
        </w:tc>
        <w:tc>
          <w:tcPr>
            <w:tcW w:w="635" w:type="pct"/>
            <w:tcBorders/>
            <w:vAlign w:val="center"/>
          </w:tcPr>
          <w:p>
            <w:pPr>
              <w:pStyle w:val="style0"/>
              <w:spacing w:before="100" w:after="100"/>
              <w:ind w:firstLine="0"/>
              <w:jc w:val="center"/>
              <w:rPr>
                <w:b/>
                <w:bCs/>
                <w:sz w:val="20"/>
                <w:szCs w:val="20"/>
              </w:rPr>
            </w:pPr>
            <w:r>
              <w:rPr>
                <w:b/>
                <w:bCs/>
                <w:sz w:val="20"/>
                <w:szCs w:val="20"/>
              </w:rPr>
              <w:t>0.033*</w:t>
            </w:r>
          </w:p>
        </w:tc>
      </w:tr>
      <w:tr>
        <w:tblPrEx/>
        <w:trPr>
          <w:trHeight w:val="102" w:hRule="atLeast"/>
        </w:trPr>
        <w:tc>
          <w:tcPr>
            <w:tcW w:w="970" w:type="pct"/>
            <w:tcBorders/>
          </w:tcPr>
          <w:p>
            <w:pPr>
              <w:pStyle w:val="style0"/>
              <w:spacing w:before="100" w:after="100"/>
              <w:ind w:firstLine="0"/>
              <w:rPr>
                <w:b/>
                <w:bCs/>
                <w:sz w:val="20"/>
                <w:szCs w:val="20"/>
              </w:rPr>
            </w:pPr>
            <w:r>
              <w:rPr>
                <w:b/>
                <w:bCs/>
                <w:sz w:val="20"/>
                <w:szCs w:val="20"/>
              </w:rPr>
              <w:t>HBA1C (%)</w:t>
            </w:r>
          </w:p>
        </w:tc>
        <w:tc>
          <w:tcPr>
            <w:tcW w:w="709" w:type="pct"/>
            <w:tcBorders/>
            <w:vAlign w:val="center"/>
          </w:tcPr>
          <w:p>
            <w:pPr>
              <w:pStyle w:val="style0"/>
              <w:spacing w:before="100" w:after="100"/>
              <w:ind w:firstLine="0"/>
              <w:jc w:val="center"/>
              <w:rPr>
                <w:sz w:val="20"/>
                <w:szCs w:val="20"/>
              </w:rPr>
            </w:pPr>
            <w:r>
              <w:rPr>
                <w:sz w:val="20"/>
                <w:szCs w:val="20"/>
              </w:rPr>
              <w:t>9.0 (±1.4)</w:t>
            </w:r>
          </w:p>
        </w:tc>
        <w:tc>
          <w:tcPr>
            <w:tcW w:w="709" w:type="pct"/>
            <w:tcBorders/>
            <w:vAlign w:val="center"/>
          </w:tcPr>
          <w:p>
            <w:pPr>
              <w:pStyle w:val="style0"/>
              <w:spacing w:before="100" w:after="100"/>
              <w:ind w:firstLine="0"/>
              <w:jc w:val="center"/>
              <w:rPr>
                <w:sz w:val="20"/>
                <w:szCs w:val="20"/>
              </w:rPr>
            </w:pPr>
            <w:r>
              <w:rPr>
                <w:sz w:val="20"/>
                <w:szCs w:val="20"/>
              </w:rPr>
              <w:t>7.9 (±1.0)</w:t>
            </w:r>
          </w:p>
        </w:tc>
        <w:tc>
          <w:tcPr>
            <w:tcW w:w="552" w:type="pct"/>
            <w:tcBorders/>
            <w:vAlign w:val="center"/>
          </w:tcPr>
          <w:p>
            <w:pPr>
              <w:pStyle w:val="style0"/>
              <w:spacing w:before="100" w:after="100"/>
              <w:ind w:firstLine="0"/>
              <w:jc w:val="center"/>
              <w:rPr>
                <w:sz w:val="20"/>
                <w:szCs w:val="20"/>
              </w:rPr>
            </w:pPr>
            <w:r>
              <w:rPr>
                <w:sz w:val="20"/>
                <w:szCs w:val="20"/>
              </w:rPr>
              <w:t>&lt;0.001</w:t>
            </w:r>
          </w:p>
        </w:tc>
        <w:tc>
          <w:tcPr>
            <w:tcW w:w="713" w:type="pct"/>
            <w:tcBorders/>
            <w:vAlign w:val="center"/>
          </w:tcPr>
          <w:p>
            <w:pPr>
              <w:pStyle w:val="style0"/>
              <w:spacing w:before="100" w:after="100"/>
              <w:ind w:firstLine="0"/>
              <w:jc w:val="center"/>
              <w:rPr>
                <w:sz w:val="20"/>
                <w:szCs w:val="20"/>
              </w:rPr>
            </w:pPr>
            <w:r>
              <w:rPr>
                <w:sz w:val="20"/>
                <w:szCs w:val="20"/>
              </w:rPr>
              <w:t>8.7 (±1.1)</w:t>
            </w:r>
          </w:p>
        </w:tc>
        <w:tc>
          <w:tcPr>
            <w:tcW w:w="709" w:type="pct"/>
            <w:tcBorders/>
            <w:vAlign w:val="center"/>
          </w:tcPr>
          <w:p>
            <w:pPr>
              <w:pStyle w:val="style0"/>
              <w:spacing w:before="100" w:after="100"/>
              <w:ind w:firstLine="0"/>
              <w:jc w:val="center"/>
              <w:rPr>
                <w:sz w:val="20"/>
                <w:szCs w:val="20"/>
              </w:rPr>
            </w:pPr>
            <w:r>
              <w:rPr>
                <w:sz w:val="20"/>
                <w:szCs w:val="20"/>
              </w:rPr>
              <w:t>7.8 (±1.1)</w:t>
            </w:r>
          </w:p>
        </w:tc>
        <w:tc>
          <w:tcPr>
            <w:tcW w:w="635" w:type="pct"/>
            <w:tcBorders/>
            <w:vAlign w:val="center"/>
          </w:tcPr>
          <w:p>
            <w:pPr>
              <w:pStyle w:val="style0"/>
              <w:spacing w:before="100" w:after="100"/>
              <w:ind w:firstLine="0"/>
              <w:jc w:val="center"/>
              <w:rPr>
                <w:b/>
                <w:bCs/>
                <w:sz w:val="20"/>
                <w:szCs w:val="20"/>
              </w:rPr>
            </w:pPr>
            <w:r>
              <w:rPr>
                <w:b/>
                <w:bCs/>
                <w:sz w:val="20"/>
                <w:szCs w:val="20"/>
              </w:rPr>
              <w:t>&lt;0.001*</w:t>
            </w:r>
          </w:p>
        </w:tc>
      </w:tr>
    </w:tbl>
    <w:p>
      <w:pPr>
        <w:pStyle w:val="style0"/>
        <w:spacing w:before="100" w:after="100" w:lineRule="auto" w:line="240"/>
        <w:ind w:firstLine="0"/>
        <w:rPr>
          <w:sz w:val="20"/>
          <w:szCs w:val="20"/>
        </w:rPr>
      </w:pPr>
      <w:r>
        <w:rPr>
          <w:sz w:val="20"/>
          <w:szCs w:val="20"/>
        </w:rPr>
        <w:t>*p Value is significant</w:t>
      </w:r>
    </w:p>
    <w:p>
      <w:pPr>
        <w:pStyle w:val="style0"/>
        <w:spacing w:before="100" w:after="100" w:lineRule="auto" w:line="240"/>
        <w:ind w:firstLine="0"/>
        <w:rPr>
          <w:b/>
          <w:bCs/>
          <w:sz w:val="20"/>
          <w:szCs w:val="20"/>
        </w:rPr>
      </w:pPr>
      <w:r>
        <w:rPr>
          <w:b/>
          <w:bCs/>
          <w:sz w:val="20"/>
          <w:szCs w:val="20"/>
        </w:rPr>
        <w:t xml:space="preserve">Table 3: Comparison between </w:t>
      </w:r>
      <w:r>
        <w:rPr>
          <w:b/>
          <w:bCs/>
          <w:sz w:val="20"/>
          <w:szCs w:val="20"/>
        </w:rPr>
        <w:t>lipid p</w:t>
      </w:r>
      <w:r>
        <w:rPr>
          <w:b/>
          <w:bCs/>
          <w:sz w:val="20"/>
          <w:szCs w:val="20"/>
        </w:rPr>
        <w:t>rofile data before and after the treatment in each group</w:t>
      </w:r>
    </w:p>
    <w:tbl>
      <w:tblPr>
        <w:tblStyle w:val="style154"/>
        <w:tblW w:w="5000" w:type="pct"/>
        <w:tblLook w:val="04A0" w:firstRow="1" w:lastRow="0" w:firstColumn="1" w:lastColumn="0" w:noHBand="0" w:noVBand="1"/>
      </w:tblPr>
      <w:tblGrid>
        <w:gridCol w:w="1494"/>
        <w:gridCol w:w="1224"/>
        <w:gridCol w:w="1224"/>
        <w:gridCol w:w="918"/>
        <w:gridCol w:w="1377"/>
        <w:gridCol w:w="1440"/>
        <w:gridCol w:w="954"/>
      </w:tblGrid>
      <w:tr>
        <w:trPr>
          <w:trHeight w:val="117" w:hRule="atLeast"/>
        </w:trPr>
        <w:tc>
          <w:tcPr>
            <w:tcW w:w="867" w:type="pct"/>
            <w:vMerge w:val="restart"/>
            <w:tcBorders/>
          </w:tcPr>
          <w:p>
            <w:pPr>
              <w:pStyle w:val="style0"/>
              <w:spacing w:before="60" w:after="60"/>
              <w:ind w:firstLine="0"/>
              <w:rPr>
                <w:sz w:val="20"/>
                <w:szCs w:val="20"/>
              </w:rPr>
            </w:pPr>
          </w:p>
        </w:tc>
        <w:tc>
          <w:tcPr>
            <w:tcW w:w="1939" w:type="pct"/>
            <w:gridSpan w:val="3"/>
            <w:tcBorders/>
            <w:vAlign w:val="center"/>
          </w:tcPr>
          <w:p>
            <w:pPr>
              <w:pStyle w:val="style0"/>
              <w:spacing w:before="60" w:after="60"/>
              <w:ind w:firstLine="0"/>
              <w:jc w:val="center"/>
              <w:rPr>
                <w:b/>
                <w:bCs/>
                <w:sz w:val="20"/>
                <w:szCs w:val="20"/>
              </w:rPr>
            </w:pPr>
            <w:r>
              <w:rPr>
                <w:b/>
                <w:bCs/>
                <w:sz w:val="20"/>
                <w:szCs w:val="20"/>
              </w:rPr>
              <w:t>DM Only</w:t>
            </w:r>
          </w:p>
          <w:p>
            <w:pPr>
              <w:pStyle w:val="style0"/>
              <w:spacing w:before="60" w:after="60"/>
              <w:ind w:firstLine="0"/>
              <w:jc w:val="center"/>
              <w:rPr>
                <w:b/>
                <w:bCs/>
                <w:sz w:val="20"/>
                <w:szCs w:val="20"/>
              </w:rPr>
            </w:pPr>
            <w:r>
              <w:rPr>
                <w:b/>
                <w:bCs/>
                <w:sz w:val="20"/>
                <w:szCs w:val="20"/>
              </w:rPr>
              <w:t>(N=86)</w:t>
            </w:r>
          </w:p>
        </w:tc>
        <w:tc>
          <w:tcPr>
            <w:tcW w:w="2194" w:type="pct"/>
            <w:gridSpan w:val="3"/>
            <w:tcBorders/>
            <w:vAlign w:val="center"/>
          </w:tcPr>
          <w:p>
            <w:pPr>
              <w:pStyle w:val="style0"/>
              <w:spacing w:before="60" w:after="60"/>
              <w:ind w:firstLine="0"/>
              <w:jc w:val="center"/>
              <w:rPr>
                <w:b/>
                <w:bCs/>
                <w:sz w:val="20"/>
                <w:szCs w:val="20"/>
              </w:rPr>
            </w:pPr>
            <w:r>
              <w:rPr>
                <w:b/>
                <w:bCs/>
                <w:sz w:val="20"/>
                <w:szCs w:val="20"/>
              </w:rPr>
              <w:t>DM with comorbidity</w:t>
            </w:r>
          </w:p>
          <w:p>
            <w:pPr>
              <w:pStyle w:val="style0"/>
              <w:spacing w:before="60" w:after="60"/>
              <w:ind w:firstLine="0"/>
              <w:jc w:val="center"/>
              <w:rPr>
                <w:b/>
                <w:bCs/>
                <w:sz w:val="20"/>
                <w:szCs w:val="20"/>
              </w:rPr>
            </w:pPr>
            <w:r>
              <w:rPr>
                <w:b/>
                <w:bCs/>
                <w:sz w:val="20"/>
                <w:szCs w:val="20"/>
              </w:rPr>
              <w:t>(N=30)</w:t>
            </w:r>
          </w:p>
        </w:tc>
      </w:tr>
      <w:tr>
        <w:tblPrEx/>
        <w:trPr>
          <w:trHeight w:val="122" w:hRule="atLeast"/>
        </w:trPr>
        <w:tc>
          <w:tcPr>
            <w:tcW w:w="867" w:type="pct"/>
            <w:vMerge w:val="continue"/>
            <w:tcBorders/>
          </w:tcPr>
          <w:p>
            <w:pPr>
              <w:pStyle w:val="style0"/>
              <w:spacing w:before="60" w:after="60"/>
              <w:ind w:firstLine="0"/>
              <w:rPr>
                <w:sz w:val="20"/>
                <w:szCs w:val="20"/>
              </w:rPr>
            </w:pPr>
          </w:p>
        </w:tc>
        <w:tc>
          <w:tcPr>
            <w:tcW w:w="711" w:type="pct"/>
            <w:tcBorders/>
            <w:vAlign w:val="center"/>
          </w:tcPr>
          <w:p>
            <w:pPr>
              <w:pStyle w:val="style0"/>
              <w:spacing w:before="60" w:after="60"/>
              <w:ind w:firstLine="0"/>
              <w:jc w:val="center"/>
              <w:rPr>
                <w:b/>
                <w:bCs/>
                <w:sz w:val="20"/>
                <w:szCs w:val="20"/>
              </w:rPr>
            </w:pPr>
            <w:r>
              <w:rPr>
                <w:b/>
                <w:bCs/>
                <w:sz w:val="20"/>
                <w:szCs w:val="20"/>
              </w:rPr>
              <w:t>Before</w:t>
            </w:r>
          </w:p>
          <w:p>
            <w:pPr>
              <w:pStyle w:val="style0"/>
              <w:spacing w:before="60" w:after="60"/>
              <w:ind w:firstLine="0"/>
              <w:jc w:val="center"/>
              <w:rPr>
                <w:b/>
                <w:bCs/>
                <w:sz w:val="20"/>
                <w:szCs w:val="20"/>
              </w:rPr>
            </w:pPr>
            <w:r>
              <w:rPr>
                <w:b/>
                <w:bCs/>
                <w:sz w:val="20"/>
                <w:szCs w:val="20"/>
              </w:rPr>
              <w:t>treatment</w:t>
            </w:r>
          </w:p>
        </w:tc>
        <w:tc>
          <w:tcPr>
            <w:tcW w:w="711" w:type="pct"/>
            <w:tcBorders/>
            <w:vAlign w:val="center"/>
          </w:tcPr>
          <w:p>
            <w:pPr>
              <w:pStyle w:val="style0"/>
              <w:spacing w:before="60" w:after="60"/>
              <w:ind w:firstLine="0"/>
              <w:jc w:val="center"/>
              <w:rPr>
                <w:b/>
                <w:bCs/>
                <w:sz w:val="20"/>
                <w:szCs w:val="20"/>
              </w:rPr>
            </w:pPr>
            <w:r>
              <w:rPr>
                <w:b/>
                <w:bCs/>
                <w:sz w:val="20"/>
                <w:szCs w:val="20"/>
              </w:rPr>
              <w:t>After</w:t>
            </w:r>
          </w:p>
          <w:p>
            <w:pPr>
              <w:pStyle w:val="style0"/>
              <w:spacing w:before="60" w:after="60"/>
              <w:ind w:firstLine="0"/>
              <w:jc w:val="center"/>
              <w:rPr>
                <w:b/>
                <w:bCs/>
                <w:sz w:val="20"/>
                <w:szCs w:val="20"/>
              </w:rPr>
            </w:pPr>
            <w:r>
              <w:rPr>
                <w:b/>
                <w:bCs/>
                <w:sz w:val="20"/>
                <w:szCs w:val="20"/>
              </w:rPr>
              <w:t>treatment</w:t>
            </w:r>
          </w:p>
        </w:tc>
        <w:tc>
          <w:tcPr>
            <w:tcW w:w="517" w:type="pct"/>
            <w:vMerge w:val="restart"/>
            <w:tcBorders/>
            <w:vAlign w:val="center"/>
          </w:tcPr>
          <w:p>
            <w:pPr>
              <w:pStyle w:val="style0"/>
              <w:spacing w:before="60" w:after="60"/>
              <w:ind w:firstLine="0"/>
              <w:jc w:val="center"/>
              <w:rPr>
                <w:b/>
                <w:bCs/>
                <w:sz w:val="20"/>
                <w:szCs w:val="20"/>
              </w:rPr>
            </w:pPr>
            <w:r>
              <w:rPr>
                <w:b/>
                <w:bCs/>
                <w:sz w:val="20"/>
                <w:szCs w:val="20"/>
              </w:rPr>
              <w:t>p-Value</w:t>
            </w:r>
          </w:p>
        </w:tc>
        <w:tc>
          <w:tcPr>
            <w:tcW w:w="802" w:type="pct"/>
            <w:tcBorders/>
            <w:vAlign w:val="center"/>
          </w:tcPr>
          <w:p>
            <w:pPr>
              <w:pStyle w:val="style0"/>
              <w:spacing w:before="60" w:after="60"/>
              <w:ind w:firstLine="0"/>
              <w:jc w:val="center"/>
              <w:rPr>
                <w:b/>
                <w:bCs/>
                <w:sz w:val="20"/>
                <w:szCs w:val="20"/>
              </w:rPr>
            </w:pPr>
            <w:r>
              <w:rPr>
                <w:b/>
                <w:bCs/>
                <w:sz w:val="20"/>
                <w:szCs w:val="20"/>
              </w:rPr>
              <w:t>Before</w:t>
            </w:r>
          </w:p>
          <w:p>
            <w:pPr>
              <w:pStyle w:val="style0"/>
              <w:spacing w:before="60" w:after="60"/>
              <w:ind w:firstLine="0"/>
              <w:jc w:val="center"/>
              <w:rPr>
                <w:b/>
                <w:bCs/>
                <w:sz w:val="20"/>
                <w:szCs w:val="20"/>
              </w:rPr>
            </w:pPr>
            <w:r>
              <w:rPr>
                <w:b/>
                <w:bCs/>
                <w:sz w:val="20"/>
                <w:szCs w:val="20"/>
              </w:rPr>
              <w:t>treatment</w:t>
            </w:r>
          </w:p>
        </w:tc>
        <w:tc>
          <w:tcPr>
            <w:tcW w:w="839" w:type="pct"/>
            <w:tcBorders/>
            <w:vAlign w:val="center"/>
          </w:tcPr>
          <w:p>
            <w:pPr>
              <w:pStyle w:val="style0"/>
              <w:spacing w:before="60" w:after="60"/>
              <w:ind w:firstLine="0"/>
              <w:jc w:val="center"/>
              <w:rPr>
                <w:b/>
                <w:bCs/>
                <w:sz w:val="20"/>
                <w:szCs w:val="20"/>
              </w:rPr>
            </w:pPr>
            <w:r>
              <w:rPr>
                <w:b/>
                <w:bCs/>
                <w:sz w:val="20"/>
                <w:szCs w:val="20"/>
              </w:rPr>
              <w:t>After</w:t>
            </w:r>
          </w:p>
          <w:p>
            <w:pPr>
              <w:pStyle w:val="style0"/>
              <w:spacing w:before="60" w:after="60"/>
              <w:ind w:firstLine="0"/>
              <w:jc w:val="center"/>
              <w:rPr>
                <w:b/>
                <w:bCs/>
                <w:sz w:val="20"/>
                <w:szCs w:val="20"/>
              </w:rPr>
            </w:pPr>
            <w:r>
              <w:rPr>
                <w:b/>
                <w:bCs/>
                <w:sz w:val="20"/>
                <w:szCs w:val="20"/>
              </w:rPr>
              <w:t>treatment</w:t>
            </w:r>
          </w:p>
        </w:tc>
        <w:tc>
          <w:tcPr>
            <w:tcW w:w="553" w:type="pct"/>
            <w:vMerge w:val="restart"/>
            <w:tcBorders/>
            <w:vAlign w:val="center"/>
          </w:tcPr>
          <w:p>
            <w:pPr>
              <w:pStyle w:val="style0"/>
              <w:spacing w:before="60" w:after="60"/>
              <w:ind w:firstLine="0"/>
              <w:jc w:val="center"/>
              <w:rPr>
                <w:b/>
                <w:bCs/>
                <w:sz w:val="20"/>
                <w:szCs w:val="20"/>
              </w:rPr>
            </w:pPr>
            <w:r>
              <w:rPr>
                <w:b/>
                <w:bCs/>
                <w:sz w:val="20"/>
                <w:szCs w:val="20"/>
              </w:rPr>
              <w:t>p-Value</w:t>
            </w:r>
          </w:p>
        </w:tc>
      </w:tr>
      <w:tr>
        <w:tblPrEx/>
        <w:trPr>
          <w:trHeight w:val="107" w:hRule="atLeast"/>
        </w:trPr>
        <w:tc>
          <w:tcPr>
            <w:tcW w:w="867" w:type="pct"/>
            <w:vMerge w:val="continue"/>
            <w:tcBorders/>
          </w:tcPr>
          <w:p>
            <w:pPr>
              <w:pStyle w:val="style0"/>
              <w:spacing w:before="60" w:after="60"/>
              <w:ind w:firstLine="0"/>
              <w:rPr>
                <w:sz w:val="20"/>
                <w:szCs w:val="20"/>
              </w:rPr>
            </w:pPr>
          </w:p>
        </w:tc>
        <w:tc>
          <w:tcPr>
            <w:tcW w:w="711" w:type="pct"/>
            <w:tcBorders/>
            <w:vAlign w:val="center"/>
          </w:tcPr>
          <w:p>
            <w:pPr>
              <w:pStyle w:val="style0"/>
              <w:spacing w:before="60" w:after="60"/>
              <w:ind w:firstLine="0"/>
              <w:jc w:val="center"/>
              <w:rPr>
                <w:b/>
                <w:bCs/>
                <w:sz w:val="20"/>
                <w:szCs w:val="20"/>
              </w:rPr>
            </w:pPr>
            <w:r>
              <w:rPr>
                <w:b/>
                <w:bCs/>
                <w:sz w:val="20"/>
                <w:szCs w:val="20"/>
              </w:rPr>
              <w:t>Mean ±SD</w:t>
            </w:r>
          </w:p>
        </w:tc>
        <w:tc>
          <w:tcPr>
            <w:tcW w:w="711" w:type="pct"/>
            <w:tcBorders/>
            <w:vAlign w:val="center"/>
          </w:tcPr>
          <w:p>
            <w:pPr>
              <w:pStyle w:val="style0"/>
              <w:spacing w:before="60" w:after="60"/>
              <w:ind w:firstLine="0"/>
              <w:jc w:val="center"/>
              <w:rPr>
                <w:b/>
                <w:bCs/>
                <w:sz w:val="20"/>
                <w:szCs w:val="20"/>
              </w:rPr>
            </w:pPr>
            <w:r>
              <w:rPr>
                <w:b/>
                <w:bCs/>
                <w:sz w:val="20"/>
                <w:szCs w:val="20"/>
              </w:rPr>
              <w:t>Mean ±SD</w:t>
            </w:r>
          </w:p>
        </w:tc>
        <w:tc>
          <w:tcPr>
            <w:tcW w:w="517" w:type="pct"/>
            <w:vMerge w:val="continue"/>
            <w:tcBorders/>
            <w:vAlign w:val="center"/>
          </w:tcPr>
          <w:p>
            <w:pPr>
              <w:pStyle w:val="style0"/>
              <w:spacing w:before="60" w:after="60"/>
              <w:ind w:firstLine="0"/>
              <w:jc w:val="center"/>
              <w:rPr>
                <w:sz w:val="20"/>
                <w:szCs w:val="20"/>
              </w:rPr>
            </w:pPr>
          </w:p>
        </w:tc>
        <w:tc>
          <w:tcPr>
            <w:tcW w:w="802" w:type="pct"/>
            <w:tcBorders/>
            <w:vAlign w:val="center"/>
          </w:tcPr>
          <w:p>
            <w:pPr>
              <w:pStyle w:val="style0"/>
              <w:spacing w:before="60" w:after="60"/>
              <w:ind w:firstLine="0"/>
              <w:jc w:val="center"/>
              <w:rPr>
                <w:b/>
                <w:bCs/>
                <w:sz w:val="20"/>
                <w:szCs w:val="20"/>
              </w:rPr>
            </w:pPr>
            <w:r>
              <w:rPr>
                <w:b/>
                <w:bCs/>
                <w:sz w:val="20"/>
                <w:szCs w:val="20"/>
              </w:rPr>
              <w:t>Mean ±SD</w:t>
            </w:r>
          </w:p>
        </w:tc>
        <w:tc>
          <w:tcPr>
            <w:tcW w:w="839" w:type="pct"/>
            <w:tcBorders/>
            <w:vAlign w:val="center"/>
          </w:tcPr>
          <w:p>
            <w:pPr>
              <w:pStyle w:val="style0"/>
              <w:spacing w:before="60" w:after="60"/>
              <w:ind w:firstLine="0"/>
              <w:jc w:val="center"/>
              <w:rPr>
                <w:b/>
                <w:bCs/>
                <w:sz w:val="20"/>
                <w:szCs w:val="20"/>
              </w:rPr>
            </w:pPr>
            <w:r>
              <w:rPr>
                <w:b/>
                <w:bCs/>
                <w:sz w:val="20"/>
                <w:szCs w:val="20"/>
              </w:rPr>
              <w:t>Mean ±SD</w:t>
            </w:r>
          </w:p>
        </w:tc>
        <w:tc>
          <w:tcPr>
            <w:tcW w:w="553" w:type="pct"/>
            <w:vMerge w:val="continue"/>
            <w:tcBorders/>
            <w:vAlign w:val="center"/>
          </w:tcPr>
          <w:p>
            <w:pPr>
              <w:pStyle w:val="style0"/>
              <w:spacing w:before="60" w:after="60"/>
              <w:ind w:firstLine="0"/>
              <w:jc w:val="center"/>
              <w:rPr>
                <w:sz w:val="20"/>
                <w:szCs w:val="20"/>
              </w:rPr>
            </w:pPr>
          </w:p>
        </w:tc>
      </w:tr>
      <w:tr>
        <w:tblPrEx/>
        <w:trPr>
          <w:trHeight w:val="143" w:hRule="atLeast"/>
        </w:trPr>
        <w:tc>
          <w:tcPr>
            <w:tcW w:w="867" w:type="pct"/>
            <w:tcBorders/>
            <w:vAlign w:val="center"/>
          </w:tcPr>
          <w:p>
            <w:pPr>
              <w:pStyle w:val="style0"/>
              <w:spacing w:before="60" w:after="60"/>
              <w:ind w:firstLine="0"/>
              <w:jc w:val="left"/>
              <w:rPr>
                <w:b/>
                <w:bCs/>
                <w:sz w:val="20"/>
                <w:szCs w:val="20"/>
              </w:rPr>
            </w:pPr>
            <w:r>
              <w:rPr>
                <w:b/>
                <w:bCs/>
                <w:sz w:val="20"/>
                <w:szCs w:val="20"/>
              </w:rPr>
              <w:t>Total Cholesterol (mg/</w:t>
            </w:r>
            <w:r>
              <w:rPr>
                <w:b/>
                <w:bCs/>
                <w:sz w:val="20"/>
                <w:szCs w:val="20"/>
              </w:rPr>
              <w:t>dL</w:t>
            </w:r>
            <w:r>
              <w:rPr>
                <w:b/>
                <w:bCs/>
                <w:sz w:val="20"/>
                <w:szCs w:val="20"/>
              </w:rPr>
              <w:t>)</w:t>
            </w:r>
          </w:p>
        </w:tc>
        <w:tc>
          <w:tcPr>
            <w:tcW w:w="711" w:type="pct"/>
            <w:tcBorders/>
            <w:vAlign w:val="center"/>
          </w:tcPr>
          <w:p>
            <w:pPr>
              <w:pStyle w:val="style0"/>
              <w:spacing w:before="60" w:after="60"/>
              <w:ind w:firstLine="0"/>
              <w:jc w:val="center"/>
              <w:rPr>
                <w:sz w:val="20"/>
                <w:szCs w:val="20"/>
              </w:rPr>
            </w:pPr>
            <w:r>
              <w:rPr>
                <w:sz w:val="20"/>
                <w:szCs w:val="20"/>
              </w:rPr>
              <w:t>192.98 (±58.58)</w:t>
            </w:r>
          </w:p>
        </w:tc>
        <w:tc>
          <w:tcPr>
            <w:tcW w:w="711" w:type="pct"/>
            <w:tcBorders/>
            <w:vAlign w:val="center"/>
          </w:tcPr>
          <w:p>
            <w:pPr>
              <w:pStyle w:val="style0"/>
              <w:spacing w:before="60" w:after="60"/>
              <w:ind w:firstLine="0"/>
              <w:jc w:val="center"/>
              <w:rPr>
                <w:sz w:val="20"/>
                <w:szCs w:val="20"/>
              </w:rPr>
            </w:pPr>
            <w:r>
              <w:rPr>
                <w:sz w:val="20"/>
                <w:szCs w:val="20"/>
              </w:rPr>
              <w:t>163.7 (±52.0)</w:t>
            </w:r>
          </w:p>
        </w:tc>
        <w:tc>
          <w:tcPr>
            <w:tcW w:w="517" w:type="pct"/>
            <w:tcBorders/>
            <w:vAlign w:val="center"/>
          </w:tcPr>
          <w:p>
            <w:pPr>
              <w:pStyle w:val="style0"/>
              <w:spacing w:before="60" w:after="60"/>
              <w:ind w:firstLine="0"/>
              <w:jc w:val="center"/>
              <w:rPr>
                <w:b/>
                <w:bCs/>
                <w:sz w:val="20"/>
                <w:szCs w:val="20"/>
              </w:rPr>
            </w:pPr>
            <w:r>
              <w:rPr>
                <w:b/>
                <w:bCs/>
                <w:sz w:val="20"/>
                <w:szCs w:val="20"/>
              </w:rPr>
              <w:t>&lt;0.001*</w:t>
            </w:r>
          </w:p>
        </w:tc>
        <w:tc>
          <w:tcPr>
            <w:tcW w:w="802" w:type="pct"/>
            <w:tcBorders/>
            <w:vAlign w:val="center"/>
          </w:tcPr>
          <w:p>
            <w:pPr>
              <w:pStyle w:val="style0"/>
              <w:spacing w:before="60" w:after="60"/>
              <w:ind w:firstLine="0"/>
              <w:jc w:val="center"/>
              <w:rPr>
                <w:sz w:val="20"/>
                <w:szCs w:val="20"/>
              </w:rPr>
            </w:pPr>
            <w:r>
              <w:rPr>
                <w:sz w:val="20"/>
                <w:szCs w:val="20"/>
              </w:rPr>
              <w:t xml:space="preserve">193.60 </w:t>
            </w:r>
            <w:r>
              <w:rPr>
                <w:sz w:val="20"/>
                <w:szCs w:val="20"/>
              </w:rPr>
              <w:t>(±63.73)</w:t>
            </w:r>
          </w:p>
        </w:tc>
        <w:tc>
          <w:tcPr>
            <w:tcW w:w="839" w:type="pct"/>
            <w:tcBorders/>
            <w:vAlign w:val="center"/>
          </w:tcPr>
          <w:p>
            <w:pPr>
              <w:pStyle w:val="style0"/>
              <w:spacing w:before="60" w:after="60"/>
              <w:ind w:firstLine="0"/>
              <w:jc w:val="center"/>
              <w:rPr>
                <w:sz w:val="20"/>
                <w:szCs w:val="20"/>
              </w:rPr>
            </w:pPr>
            <w:r>
              <w:rPr>
                <w:sz w:val="20"/>
                <w:szCs w:val="20"/>
              </w:rPr>
              <w:t xml:space="preserve">158.4 </w:t>
            </w:r>
            <w:r>
              <w:rPr>
                <w:sz w:val="20"/>
                <w:szCs w:val="20"/>
              </w:rPr>
              <w:t>(±51.7)</w:t>
            </w:r>
          </w:p>
        </w:tc>
        <w:tc>
          <w:tcPr>
            <w:tcW w:w="553" w:type="pct"/>
            <w:tcBorders/>
            <w:vAlign w:val="center"/>
          </w:tcPr>
          <w:p>
            <w:pPr>
              <w:pStyle w:val="style0"/>
              <w:spacing w:before="60" w:after="60"/>
              <w:ind w:firstLine="0"/>
              <w:jc w:val="center"/>
              <w:rPr>
                <w:b/>
                <w:bCs/>
                <w:sz w:val="20"/>
                <w:szCs w:val="20"/>
              </w:rPr>
            </w:pPr>
            <w:r>
              <w:rPr>
                <w:b/>
                <w:bCs/>
                <w:sz w:val="20"/>
                <w:szCs w:val="20"/>
              </w:rPr>
              <w:t>&lt;0.001*</w:t>
            </w:r>
          </w:p>
        </w:tc>
      </w:tr>
      <w:tr>
        <w:tblPrEx/>
        <w:trPr>
          <w:trHeight w:val="105" w:hRule="atLeast"/>
        </w:trPr>
        <w:tc>
          <w:tcPr>
            <w:tcW w:w="867" w:type="pct"/>
            <w:tcBorders/>
            <w:vAlign w:val="center"/>
          </w:tcPr>
          <w:p>
            <w:pPr>
              <w:pStyle w:val="style0"/>
              <w:spacing w:before="60" w:after="60"/>
              <w:ind w:firstLine="0"/>
              <w:jc w:val="left"/>
              <w:rPr>
                <w:b/>
                <w:bCs/>
                <w:sz w:val="20"/>
                <w:szCs w:val="20"/>
              </w:rPr>
            </w:pPr>
            <w:r>
              <w:rPr>
                <w:b/>
                <w:bCs/>
                <w:sz w:val="20"/>
                <w:szCs w:val="20"/>
              </w:rPr>
              <w:t>LDL (mg/</w:t>
            </w:r>
            <w:r>
              <w:rPr>
                <w:b/>
                <w:bCs/>
                <w:sz w:val="20"/>
                <w:szCs w:val="20"/>
              </w:rPr>
              <w:t>dL</w:t>
            </w:r>
            <w:r>
              <w:rPr>
                <w:b/>
                <w:bCs/>
                <w:sz w:val="20"/>
                <w:szCs w:val="20"/>
              </w:rPr>
              <w:t>)</w:t>
            </w:r>
          </w:p>
        </w:tc>
        <w:tc>
          <w:tcPr>
            <w:tcW w:w="711" w:type="pct"/>
            <w:tcBorders/>
            <w:vAlign w:val="center"/>
          </w:tcPr>
          <w:p>
            <w:pPr>
              <w:pStyle w:val="style0"/>
              <w:spacing w:before="60" w:after="60"/>
              <w:ind w:firstLine="0"/>
              <w:jc w:val="center"/>
              <w:rPr>
                <w:sz w:val="20"/>
                <w:szCs w:val="20"/>
              </w:rPr>
            </w:pPr>
            <w:r>
              <w:rPr>
                <w:sz w:val="20"/>
                <w:szCs w:val="20"/>
              </w:rPr>
              <w:t>149.2 (±53.8)</w:t>
            </w:r>
          </w:p>
        </w:tc>
        <w:tc>
          <w:tcPr>
            <w:tcW w:w="711" w:type="pct"/>
            <w:tcBorders/>
            <w:vAlign w:val="center"/>
          </w:tcPr>
          <w:p>
            <w:pPr>
              <w:pStyle w:val="style0"/>
              <w:spacing w:before="60" w:after="60"/>
              <w:ind w:firstLine="0"/>
              <w:jc w:val="center"/>
              <w:rPr>
                <w:sz w:val="20"/>
                <w:szCs w:val="20"/>
              </w:rPr>
            </w:pPr>
            <w:r>
              <w:rPr>
                <w:sz w:val="20"/>
                <w:szCs w:val="20"/>
              </w:rPr>
              <w:t>126.4 (±46.4)</w:t>
            </w:r>
          </w:p>
        </w:tc>
        <w:tc>
          <w:tcPr>
            <w:tcW w:w="517" w:type="pct"/>
            <w:tcBorders/>
            <w:vAlign w:val="center"/>
          </w:tcPr>
          <w:p>
            <w:pPr>
              <w:pStyle w:val="style0"/>
              <w:spacing w:before="60" w:after="60"/>
              <w:ind w:firstLine="0"/>
              <w:jc w:val="center"/>
              <w:rPr>
                <w:b/>
                <w:bCs/>
                <w:sz w:val="20"/>
                <w:szCs w:val="20"/>
              </w:rPr>
            </w:pPr>
            <w:r>
              <w:rPr>
                <w:b/>
                <w:bCs/>
                <w:sz w:val="20"/>
                <w:szCs w:val="20"/>
              </w:rPr>
              <w:t>&lt;0.001*</w:t>
            </w:r>
          </w:p>
        </w:tc>
        <w:tc>
          <w:tcPr>
            <w:tcW w:w="802" w:type="pct"/>
            <w:tcBorders/>
            <w:vAlign w:val="center"/>
          </w:tcPr>
          <w:p>
            <w:pPr>
              <w:pStyle w:val="style0"/>
              <w:spacing w:before="60" w:after="60"/>
              <w:ind w:firstLine="0"/>
              <w:jc w:val="center"/>
              <w:rPr>
                <w:sz w:val="20"/>
                <w:szCs w:val="20"/>
              </w:rPr>
            </w:pPr>
            <w:r>
              <w:rPr>
                <w:sz w:val="20"/>
                <w:szCs w:val="20"/>
              </w:rPr>
              <w:t>139.1 (±49.0)</w:t>
            </w:r>
          </w:p>
        </w:tc>
        <w:tc>
          <w:tcPr>
            <w:tcW w:w="839" w:type="pct"/>
            <w:tcBorders/>
            <w:vAlign w:val="center"/>
          </w:tcPr>
          <w:p>
            <w:pPr>
              <w:pStyle w:val="style0"/>
              <w:spacing w:before="60" w:after="60"/>
              <w:ind w:firstLine="0"/>
              <w:jc w:val="center"/>
              <w:rPr>
                <w:sz w:val="20"/>
                <w:szCs w:val="20"/>
              </w:rPr>
            </w:pPr>
            <w:r>
              <w:rPr>
                <w:sz w:val="20"/>
                <w:szCs w:val="20"/>
              </w:rPr>
              <w:t>125.2 (±44.7)</w:t>
            </w:r>
          </w:p>
        </w:tc>
        <w:tc>
          <w:tcPr>
            <w:tcW w:w="553" w:type="pct"/>
            <w:tcBorders/>
            <w:vAlign w:val="center"/>
          </w:tcPr>
          <w:p>
            <w:pPr>
              <w:pStyle w:val="style0"/>
              <w:spacing w:before="60" w:after="60"/>
              <w:ind w:firstLine="0"/>
              <w:jc w:val="center"/>
              <w:rPr>
                <w:b/>
                <w:bCs/>
                <w:sz w:val="20"/>
                <w:szCs w:val="20"/>
              </w:rPr>
            </w:pPr>
            <w:r>
              <w:rPr>
                <w:b/>
                <w:bCs/>
                <w:sz w:val="20"/>
                <w:szCs w:val="20"/>
              </w:rPr>
              <w:t>0.002*</w:t>
            </w:r>
          </w:p>
        </w:tc>
      </w:tr>
      <w:tr>
        <w:tblPrEx/>
        <w:trPr>
          <w:trHeight w:val="105" w:hRule="atLeast"/>
        </w:trPr>
        <w:tc>
          <w:tcPr>
            <w:tcW w:w="867" w:type="pct"/>
            <w:tcBorders/>
            <w:vAlign w:val="center"/>
          </w:tcPr>
          <w:p>
            <w:pPr>
              <w:pStyle w:val="style0"/>
              <w:spacing w:before="60" w:after="60"/>
              <w:ind w:firstLine="0"/>
              <w:jc w:val="left"/>
              <w:rPr>
                <w:b/>
                <w:bCs/>
                <w:sz w:val="20"/>
                <w:szCs w:val="20"/>
              </w:rPr>
            </w:pPr>
            <w:r>
              <w:rPr>
                <w:b/>
                <w:bCs/>
                <w:sz w:val="20"/>
                <w:szCs w:val="20"/>
              </w:rPr>
              <w:t>HDL (mg/</w:t>
            </w:r>
            <w:r>
              <w:rPr>
                <w:b/>
                <w:bCs/>
                <w:sz w:val="20"/>
                <w:szCs w:val="20"/>
              </w:rPr>
              <w:t>dL</w:t>
            </w:r>
            <w:r>
              <w:rPr>
                <w:b/>
                <w:bCs/>
                <w:sz w:val="20"/>
                <w:szCs w:val="20"/>
              </w:rPr>
              <w:t>)</w:t>
            </w:r>
          </w:p>
        </w:tc>
        <w:tc>
          <w:tcPr>
            <w:tcW w:w="711" w:type="pct"/>
            <w:tcBorders/>
            <w:vAlign w:val="center"/>
          </w:tcPr>
          <w:p>
            <w:pPr>
              <w:pStyle w:val="style0"/>
              <w:spacing w:before="60" w:after="60"/>
              <w:ind w:firstLine="0"/>
              <w:jc w:val="center"/>
              <w:rPr>
                <w:sz w:val="20"/>
                <w:szCs w:val="20"/>
              </w:rPr>
            </w:pPr>
            <w:r>
              <w:rPr>
                <w:sz w:val="20"/>
                <w:szCs w:val="20"/>
              </w:rPr>
              <w:t>40.5 (±11.4)</w:t>
            </w:r>
          </w:p>
        </w:tc>
        <w:tc>
          <w:tcPr>
            <w:tcW w:w="711" w:type="pct"/>
            <w:tcBorders/>
            <w:vAlign w:val="center"/>
          </w:tcPr>
          <w:p>
            <w:pPr>
              <w:pStyle w:val="style0"/>
              <w:spacing w:before="60" w:after="60"/>
              <w:ind w:firstLine="0"/>
              <w:jc w:val="center"/>
              <w:rPr>
                <w:sz w:val="20"/>
                <w:szCs w:val="20"/>
              </w:rPr>
            </w:pPr>
            <w:r>
              <w:rPr>
                <w:sz w:val="20"/>
                <w:szCs w:val="20"/>
              </w:rPr>
              <w:t>42.9 (±10.6)</w:t>
            </w:r>
          </w:p>
        </w:tc>
        <w:tc>
          <w:tcPr>
            <w:tcW w:w="517" w:type="pct"/>
            <w:tcBorders/>
            <w:vAlign w:val="center"/>
          </w:tcPr>
          <w:p>
            <w:pPr>
              <w:pStyle w:val="style0"/>
              <w:spacing w:before="60" w:after="60"/>
              <w:ind w:firstLine="0"/>
              <w:jc w:val="center"/>
              <w:rPr>
                <w:b/>
                <w:bCs/>
                <w:sz w:val="20"/>
                <w:szCs w:val="20"/>
              </w:rPr>
            </w:pPr>
            <w:r>
              <w:rPr>
                <w:b/>
                <w:bCs/>
                <w:sz w:val="20"/>
                <w:szCs w:val="20"/>
              </w:rPr>
              <w:t>&lt;0.001*</w:t>
            </w:r>
          </w:p>
        </w:tc>
        <w:tc>
          <w:tcPr>
            <w:tcW w:w="802" w:type="pct"/>
            <w:tcBorders/>
            <w:vAlign w:val="center"/>
          </w:tcPr>
          <w:p>
            <w:pPr>
              <w:pStyle w:val="style0"/>
              <w:spacing w:before="60" w:after="60"/>
              <w:ind w:firstLine="0"/>
              <w:jc w:val="center"/>
              <w:rPr>
                <w:sz w:val="20"/>
                <w:szCs w:val="20"/>
              </w:rPr>
            </w:pPr>
            <w:r>
              <w:rPr>
                <w:sz w:val="20"/>
                <w:szCs w:val="20"/>
              </w:rPr>
              <w:t>36.6 (±11.1)</w:t>
            </w:r>
          </w:p>
        </w:tc>
        <w:tc>
          <w:tcPr>
            <w:tcW w:w="839" w:type="pct"/>
            <w:tcBorders/>
            <w:vAlign w:val="center"/>
          </w:tcPr>
          <w:p>
            <w:pPr>
              <w:pStyle w:val="style0"/>
              <w:spacing w:before="60" w:after="60"/>
              <w:ind w:firstLine="0"/>
              <w:jc w:val="center"/>
              <w:rPr>
                <w:sz w:val="20"/>
                <w:szCs w:val="20"/>
              </w:rPr>
            </w:pPr>
            <w:r>
              <w:rPr>
                <w:sz w:val="20"/>
                <w:szCs w:val="20"/>
              </w:rPr>
              <w:t>38.0 (±12.1)</w:t>
            </w:r>
          </w:p>
        </w:tc>
        <w:tc>
          <w:tcPr>
            <w:tcW w:w="553" w:type="pct"/>
            <w:tcBorders/>
            <w:vAlign w:val="center"/>
          </w:tcPr>
          <w:p>
            <w:pPr>
              <w:pStyle w:val="style0"/>
              <w:spacing w:before="60" w:after="60"/>
              <w:ind w:firstLine="0"/>
              <w:jc w:val="center"/>
              <w:rPr>
                <w:b/>
                <w:bCs/>
                <w:sz w:val="20"/>
                <w:szCs w:val="20"/>
              </w:rPr>
            </w:pPr>
            <w:r>
              <w:rPr>
                <w:b/>
                <w:bCs/>
                <w:sz w:val="20"/>
                <w:szCs w:val="20"/>
              </w:rPr>
              <w:t>0.010*</w:t>
            </w:r>
          </w:p>
        </w:tc>
      </w:tr>
      <w:tr>
        <w:tblPrEx/>
        <w:trPr>
          <w:trHeight w:val="102" w:hRule="atLeast"/>
        </w:trPr>
        <w:tc>
          <w:tcPr>
            <w:tcW w:w="867" w:type="pct"/>
            <w:tcBorders/>
            <w:vAlign w:val="center"/>
          </w:tcPr>
          <w:p>
            <w:pPr>
              <w:pStyle w:val="style0"/>
              <w:spacing w:before="60" w:after="60"/>
              <w:ind w:firstLine="0"/>
              <w:jc w:val="left"/>
              <w:rPr>
                <w:b/>
                <w:bCs/>
                <w:sz w:val="20"/>
                <w:szCs w:val="20"/>
              </w:rPr>
            </w:pPr>
            <w:r>
              <w:rPr>
                <w:b/>
                <w:bCs/>
                <w:sz w:val="20"/>
                <w:szCs w:val="20"/>
              </w:rPr>
              <w:t>Triglycerides (mg/</w:t>
            </w:r>
            <w:r>
              <w:rPr>
                <w:b/>
                <w:bCs/>
                <w:sz w:val="20"/>
                <w:szCs w:val="20"/>
              </w:rPr>
              <w:t>dL</w:t>
            </w:r>
            <w:r>
              <w:rPr>
                <w:b/>
                <w:bCs/>
                <w:sz w:val="20"/>
                <w:szCs w:val="20"/>
              </w:rPr>
              <w:t>)</w:t>
            </w:r>
          </w:p>
        </w:tc>
        <w:tc>
          <w:tcPr>
            <w:tcW w:w="711" w:type="pct"/>
            <w:tcBorders/>
            <w:vAlign w:val="center"/>
          </w:tcPr>
          <w:p>
            <w:pPr>
              <w:pStyle w:val="style0"/>
              <w:spacing w:before="60" w:after="60"/>
              <w:ind w:firstLine="0"/>
              <w:jc w:val="center"/>
              <w:rPr>
                <w:sz w:val="20"/>
                <w:szCs w:val="20"/>
              </w:rPr>
            </w:pPr>
            <w:r>
              <w:rPr>
                <w:sz w:val="20"/>
                <w:szCs w:val="20"/>
              </w:rPr>
              <w:t>130.8 (±75.7)</w:t>
            </w:r>
          </w:p>
        </w:tc>
        <w:tc>
          <w:tcPr>
            <w:tcW w:w="711" w:type="pct"/>
            <w:tcBorders/>
            <w:vAlign w:val="center"/>
          </w:tcPr>
          <w:p>
            <w:pPr>
              <w:pStyle w:val="style0"/>
              <w:spacing w:before="60" w:after="60"/>
              <w:ind w:firstLine="0"/>
              <w:jc w:val="center"/>
              <w:rPr>
                <w:sz w:val="20"/>
                <w:szCs w:val="20"/>
              </w:rPr>
            </w:pPr>
            <w:r>
              <w:rPr>
                <w:sz w:val="20"/>
                <w:szCs w:val="20"/>
              </w:rPr>
              <w:t>114.3 (±67.4)</w:t>
            </w:r>
          </w:p>
        </w:tc>
        <w:tc>
          <w:tcPr>
            <w:tcW w:w="517" w:type="pct"/>
            <w:tcBorders/>
            <w:vAlign w:val="center"/>
          </w:tcPr>
          <w:p>
            <w:pPr>
              <w:pStyle w:val="style0"/>
              <w:spacing w:before="60" w:after="60"/>
              <w:ind w:firstLine="0"/>
              <w:jc w:val="center"/>
              <w:rPr>
                <w:b/>
                <w:bCs/>
                <w:sz w:val="20"/>
                <w:szCs w:val="20"/>
              </w:rPr>
            </w:pPr>
            <w:r>
              <w:rPr>
                <w:b/>
                <w:bCs/>
                <w:sz w:val="20"/>
                <w:szCs w:val="20"/>
              </w:rPr>
              <w:t>&lt;0.001*</w:t>
            </w:r>
          </w:p>
        </w:tc>
        <w:tc>
          <w:tcPr>
            <w:tcW w:w="802" w:type="pct"/>
            <w:tcBorders/>
            <w:vAlign w:val="center"/>
          </w:tcPr>
          <w:p>
            <w:pPr>
              <w:pStyle w:val="style0"/>
              <w:spacing w:before="60" w:after="60"/>
              <w:ind w:firstLine="0"/>
              <w:jc w:val="center"/>
              <w:rPr>
                <w:sz w:val="20"/>
                <w:szCs w:val="20"/>
              </w:rPr>
            </w:pPr>
            <w:r>
              <w:rPr>
                <w:sz w:val="20"/>
                <w:szCs w:val="20"/>
              </w:rPr>
              <w:t>157.4 (±100.4)</w:t>
            </w:r>
          </w:p>
        </w:tc>
        <w:tc>
          <w:tcPr>
            <w:tcW w:w="839" w:type="pct"/>
            <w:tcBorders/>
            <w:vAlign w:val="center"/>
          </w:tcPr>
          <w:p>
            <w:pPr>
              <w:pStyle w:val="style0"/>
              <w:spacing w:before="60" w:after="60"/>
              <w:ind w:firstLine="0"/>
              <w:jc w:val="center"/>
              <w:rPr>
                <w:sz w:val="20"/>
                <w:szCs w:val="20"/>
              </w:rPr>
            </w:pPr>
            <w:r>
              <w:rPr>
                <w:sz w:val="20"/>
                <w:szCs w:val="20"/>
              </w:rPr>
              <w:t>133.3 (±85.9)</w:t>
            </w:r>
          </w:p>
        </w:tc>
        <w:tc>
          <w:tcPr>
            <w:tcW w:w="553" w:type="pct"/>
            <w:tcBorders/>
            <w:vAlign w:val="center"/>
          </w:tcPr>
          <w:p>
            <w:pPr>
              <w:pStyle w:val="style0"/>
              <w:spacing w:before="60" w:after="60"/>
              <w:ind w:firstLine="0"/>
              <w:jc w:val="center"/>
              <w:rPr>
                <w:b/>
                <w:bCs/>
                <w:sz w:val="20"/>
                <w:szCs w:val="20"/>
              </w:rPr>
            </w:pPr>
            <w:r>
              <w:rPr>
                <w:b/>
                <w:bCs/>
                <w:sz w:val="20"/>
                <w:szCs w:val="20"/>
              </w:rPr>
              <w:t>&lt;0.001*</w:t>
            </w:r>
          </w:p>
        </w:tc>
      </w:tr>
    </w:tbl>
    <w:p>
      <w:pPr>
        <w:pStyle w:val="style0"/>
        <w:spacing w:before="100" w:after="100" w:lineRule="auto" w:line="240"/>
        <w:ind w:firstLine="0"/>
        <w:rPr>
          <w:sz w:val="20"/>
          <w:szCs w:val="20"/>
        </w:rPr>
      </w:pPr>
      <w:r>
        <w:rPr>
          <w:sz w:val="20"/>
          <w:szCs w:val="20"/>
        </w:rPr>
        <w:t>*p Value is significant</w:t>
      </w:r>
    </w:p>
    <w:p>
      <w:pPr>
        <w:pStyle w:val="style0"/>
        <w:spacing w:before="100" w:after="100" w:lineRule="auto" w:line="240"/>
        <w:ind w:firstLine="0"/>
        <w:rPr>
          <w:b/>
          <w:bCs/>
          <w:sz w:val="20"/>
          <w:szCs w:val="20"/>
        </w:rPr>
      </w:pPr>
    </w:p>
    <w:p>
      <w:pPr>
        <w:pStyle w:val="style0"/>
        <w:spacing w:before="100" w:after="100" w:lineRule="auto" w:line="240"/>
        <w:ind w:firstLine="0"/>
        <w:rPr>
          <w:b/>
          <w:bCs/>
          <w:sz w:val="20"/>
          <w:szCs w:val="20"/>
        </w:rPr>
      </w:pPr>
      <w:r>
        <w:rPr>
          <w:b/>
          <w:bCs/>
          <w:sz w:val="20"/>
          <w:szCs w:val="20"/>
        </w:rPr>
        <w:t>Table 4: Comparison between k</w:t>
      </w:r>
      <w:r>
        <w:rPr>
          <w:b/>
          <w:bCs/>
          <w:sz w:val="20"/>
          <w:szCs w:val="20"/>
        </w:rPr>
        <w:t>idney function data before and after the treatment in each group</w:t>
      </w:r>
    </w:p>
    <w:tbl>
      <w:tblPr>
        <w:tblStyle w:val="style154"/>
        <w:tblW w:w="5000" w:type="pct"/>
        <w:tblLook w:val="04A0" w:firstRow="1" w:lastRow="0" w:firstColumn="1" w:lastColumn="0" w:noHBand="0" w:noVBand="1"/>
      </w:tblPr>
      <w:tblGrid>
        <w:gridCol w:w="1918"/>
        <w:gridCol w:w="1136"/>
        <w:gridCol w:w="1137"/>
        <w:gridCol w:w="1020"/>
        <w:gridCol w:w="1206"/>
        <w:gridCol w:w="1153"/>
        <w:gridCol w:w="1060"/>
      </w:tblGrid>
      <w:tr>
        <w:trPr>
          <w:trHeight w:val="170" w:hRule="atLeast"/>
        </w:trPr>
        <w:tc>
          <w:tcPr>
            <w:tcW w:w="1111" w:type="pct"/>
            <w:vMerge w:val="restart"/>
            <w:tcBorders/>
          </w:tcPr>
          <w:p>
            <w:pPr>
              <w:pStyle w:val="style0"/>
              <w:spacing w:before="60" w:after="60"/>
              <w:ind w:firstLine="0"/>
              <w:rPr>
                <w:sz w:val="20"/>
                <w:szCs w:val="20"/>
              </w:rPr>
            </w:pPr>
          </w:p>
        </w:tc>
        <w:tc>
          <w:tcPr>
            <w:tcW w:w="1908" w:type="pct"/>
            <w:gridSpan w:val="3"/>
            <w:tcBorders/>
            <w:vAlign w:val="center"/>
          </w:tcPr>
          <w:p>
            <w:pPr>
              <w:pStyle w:val="style0"/>
              <w:spacing w:before="60" w:after="60"/>
              <w:ind w:firstLine="0"/>
              <w:jc w:val="center"/>
              <w:rPr>
                <w:b/>
                <w:bCs/>
                <w:sz w:val="20"/>
                <w:szCs w:val="20"/>
              </w:rPr>
            </w:pPr>
            <w:r>
              <w:rPr>
                <w:b/>
                <w:bCs/>
                <w:sz w:val="20"/>
                <w:szCs w:val="20"/>
              </w:rPr>
              <w:t>DM Only</w:t>
            </w:r>
          </w:p>
          <w:p>
            <w:pPr>
              <w:pStyle w:val="style0"/>
              <w:spacing w:before="60" w:after="60"/>
              <w:ind w:firstLine="0"/>
              <w:jc w:val="center"/>
              <w:rPr>
                <w:b/>
                <w:bCs/>
                <w:sz w:val="20"/>
                <w:szCs w:val="20"/>
              </w:rPr>
            </w:pPr>
            <w:r>
              <w:rPr>
                <w:b/>
                <w:bCs/>
                <w:sz w:val="20"/>
                <w:szCs w:val="20"/>
              </w:rPr>
              <w:t>(N=86)</w:t>
            </w:r>
          </w:p>
        </w:tc>
        <w:tc>
          <w:tcPr>
            <w:tcW w:w="1981" w:type="pct"/>
            <w:gridSpan w:val="3"/>
            <w:tcBorders/>
            <w:vAlign w:val="center"/>
          </w:tcPr>
          <w:p>
            <w:pPr>
              <w:pStyle w:val="style0"/>
              <w:spacing w:before="60" w:after="60"/>
              <w:ind w:firstLine="0"/>
              <w:jc w:val="center"/>
              <w:rPr>
                <w:b/>
                <w:bCs/>
                <w:sz w:val="20"/>
                <w:szCs w:val="20"/>
              </w:rPr>
            </w:pPr>
            <w:r>
              <w:rPr>
                <w:b/>
                <w:bCs/>
                <w:sz w:val="20"/>
                <w:szCs w:val="20"/>
              </w:rPr>
              <w:t>DM with comorbidity</w:t>
            </w:r>
          </w:p>
          <w:p>
            <w:pPr>
              <w:pStyle w:val="style0"/>
              <w:spacing w:before="60" w:after="60"/>
              <w:ind w:firstLine="0"/>
              <w:jc w:val="center"/>
              <w:rPr>
                <w:b/>
                <w:bCs/>
                <w:sz w:val="20"/>
                <w:szCs w:val="20"/>
              </w:rPr>
            </w:pPr>
            <w:r>
              <w:rPr>
                <w:b/>
                <w:bCs/>
                <w:sz w:val="20"/>
                <w:szCs w:val="20"/>
              </w:rPr>
              <w:t>(N=30)</w:t>
            </w:r>
          </w:p>
        </w:tc>
      </w:tr>
      <w:tr>
        <w:tblPrEx/>
        <w:trPr>
          <w:trHeight w:val="195" w:hRule="atLeast"/>
        </w:trPr>
        <w:tc>
          <w:tcPr>
            <w:tcW w:w="1111" w:type="pct"/>
            <w:vMerge w:val="continue"/>
            <w:tcBorders/>
          </w:tcPr>
          <w:p>
            <w:pPr>
              <w:pStyle w:val="style0"/>
              <w:spacing w:before="60" w:after="60"/>
              <w:ind w:firstLine="0"/>
              <w:rPr>
                <w:sz w:val="20"/>
                <w:szCs w:val="20"/>
              </w:rPr>
            </w:pPr>
          </w:p>
        </w:tc>
        <w:tc>
          <w:tcPr>
            <w:tcW w:w="658" w:type="pct"/>
            <w:tcBorders/>
            <w:vAlign w:val="center"/>
          </w:tcPr>
          <w:p>
            <w:pPr>
              <w:pStyle w:val="style0"/>
              <w:spacing w:before="60" w:after="60"/>
              <w:ind w:firstLine="0"/>
              <w:jc w:val="center"/>
              <w:rPr>
                <w:b/>
                <w:bCs/>
                <w:sz w:val="20"/>
                <w:szCs w:val="20"/>
              </w:rPr>
            </w:pPr>
            <w:r>
              <w:rPr>
                <w:b/>
                <w:bCs/>
                <w:sz w:val="20"/>
                <w:szCs w:val="20"/>
              </w:rPr>
              <w:t>Before</w:t>
            </w:r>
          </w:p>
          <w:p>
            <w:pPr>
              <w:pStyle w:val="style0"/>
              <w:spacing w:before="60" w:after="60"/>
              <w:ind w:firstLine="0"/>
              <w:jc w:val="center"/>
              <w:rPr>
                <w:b/>
                <w:bCs/>
                <w:sz w:val="20"/>
                <w:szCs w:val="20"/>
              </w:rPr>
            </w:pPr>
            <w:r>
              <w:rPr>
                <w:b/>
                <w:bCs/>
                <w:sz w:val="20"/>
                <w:szCs w:val="20"/>
              </w:rPr>
              <w:t>treatment</w:t>
            </w:r>
          </w:p>
        </w:tc>
        <w:tc>
          <w:tcPr>
            <w:tcW w:w="659" w:type="pct"/>
            <w:tcBorders/>
            <w:vAlign w:val="center"/>
          </w:tcPr>
          <w:p>
            <w:pPr>
              <w:pStyle w:val="style0"/>
              <w:spacing w:before="60" w:after="60"/>
              <w:ind w:firstLine="0"/>
              <w:jc w:val="center"/>
              <w:rPr>
                <w:b/>
                <w:bCs/>
                <w:sz w:val="20"/>
                <w:szCs w:val="20"/>
              </w:rPr>
            </w:pPr>
            <w:r>
              <w:rPr>
                <w:b/>
                <w:bCs/>
                <w:sz w:val="20"/>
                <w:szCs w:val="20"/>
              </w:rPr>
              <w:t>After</w:t>
            </w:r>
          </w:p>
          <w:p>
            <w:pPr>
              <w:pStyle w:val="style0"/>
              <w:spacing w:before="60" w:after="60"/>
              <w:ind w:firstLine="0"/>
              <w:jc w:val="center"/>
              <w:rPr>
                <w:b/>
                <w:bCs/>
                <w:sz w:val="20"/>
                <w:szCs w:val="20"/>
              </w:rPr>
            </w:pPr>
            <w:r>
              <w:rPr>
                <w:b/>
                <w:bCs/>
                <w:sz w:val="20"/>
                <w:szCs w:val="20"/>
              </w:rPr>
              <w:t>treatment</w:t>
            </w:r>
          </w:p>
        </w:tc>
        <w:tc>
          <w:tcPr>
            <w:tcW w:w="591" w:type="pct"/>
            <w:vMerge w:val="restart"/>
            <w:tcBorders/>
            <w:vAlign w:val="center"/>
          </w:tcPr>
          <w:p>
            <w:pPr>
              <w:pStyle w:val="style0"/>
              <w:spacing w:before="60" w:after="60"/>
              <w:ind w:firstLine="0"/>
              <w:jc w:val="center"/>
              <w:rPr>
                <w:b/>
                <w:bCs/>
                <w:sz w:val="20"/>
                <w:szCs w:val="20"/>
              </w:rPr>
            </w:pPr>
            <w:r>
              <w:rPr>
                <w:b/>
                <w:bCs/>
                <w:sz w:val="20"/>
                <w:szCs w:val="20"/>
              </w:rPr>
              <w:t>p-Value</w:t>
            </w:r>
          </w:p>
        </w:tc>
        <w:tc>
          <w:tcPr>
            <w:tcW w:w="699" w:type="pct"/>
            <w:tcBorders/>
            <w:vAlign w:val="center"/>
          </w:tcPr>
          <w:p>
            <w:pPr>
              <w:pStyle w:val="style0"/>
              <w:spacing w:before="60" w:after="60"/>
              <w:ind w:firstLine="0"/>
              <w:jc w:val="center"/>
              <w:rPr>
                <w:b/>
                <w:bCs/>
                <w:sz w:val="20"/>
                <w:szCs w:val="20"/>
              </w:rPr>
            </w:pPr>
            <w:r>
              <w:rPr>
                <w:b/>
                <w:bCs/>
                <w:sz w:val="20"/>
                <w:szCs w:val="20"/>
              </w:rPr>
              <w:t>Before</w:t>
            </w:r>
          </w:p>
          <w:p>
            <w:pPr>
              <w:pStyle w:val="style0"/>
              <w:spacing w:before="60" w:after="60"/>
              <w:ind w:firstLine="0"/>
              <w:jc w:val="center"/>
              <w:rPr>
                <w:b/>
                <w:bCs/>
                <w:sz w:val="20"/>
                <w:szCs w:val="20"/>
              </w:rPr>
            </w:pPr>
            <w:r>
              <w:rPr>
                <w:b/>
                <w:bCs/>
                <w:sz w:val="20"/>
                <w:szCs w:val="20"/>
              </w:rPr>
              <w:t>treatment</w:t>
            </w:r>
          </w:p>
        </w:tc>
        <w:tc>
          <w:tcPr>
            <w:tcW w:w="668" w:type="pct"/>
            <w:tcBorders/>
            <w:vAlign w:val="center"/>
          </w:tcPr>
          <w:p>
            <w:pPr>
              <w:pStyle w:val="style0"/>
              <w:spacing w:before="60" w:after="60"/>
              <w:ind w:firstLine="0"/>
              <w:jc w:val="center"/>
              <w:rPr>
                <w:b/>
                <w:bCs/>
                <w:sz w:val="20"/>
                <w:szCs w:val="20"/>
              </w:rPr>
            </w:pPr>
            <w:r>
              <w:rPr>
                <w:b/>
                <w:bCs/>
                <w:sz w:val="20"/>
                <w:szCs w:val="20"/>
              </w:rPr>
              <w:t>After</w:t>
            </w:r>
          </w:p>
          <w:p>
            <w:pPr>
              <w:pStyle w:val="style0"/>
              <w:spacing w:before="60" w:after="60"/>
              <w:ind w:firstLine="0"/>
              <w:jc w:val="center"/>
              <w:rPr>
                <w:b/>
                <w:bCs/>
                <w:sz w:val="20"/>
                <w:szCs w:val="20"/>
              </w:rPr>
            </w:pPr>
            <w:r>
              <w:rPr>
                <w:b/>
                <w:bCs/>
                <w:sz w:val="20"/>
                <w:szCs w:val="20"/>
              </w:rPr>
              <w:t>treatment</w:t>
            </w:r>
          </w:p>
        </w:tc>
        <w:tc>
          <w:tcPr>
            <w:tcW w:w="614" w:type="pct"/>
            <w:vMerge w:val="restart"/>
            <w:tcBorders/>
            <w:vAlign w:val="center"/>
          </w:tcPr>
          <w:p>
            <w:pPr>
              <w:pStyle w:val="style0"/>
              <w:spacing w:before="60" w:after="60"/>
              <w:ind w:firstLine="0"/>
              <w:jc w:val="center"/>
              <w:rPr>
                <w:b/>
                <w:bCs/>
                <w:sz w:val="20"/>
                <w:szCs w:val="20"/>
              </w:rPr>
            </w:pPr>
            <w:r>
              <w:rPr>
                <w:b/>
                <w:bCs/>
                <w:sz w:val="20"/>
                <w:szCs w:val="20"/>
              </w:rPr>
              <w:t>p-Value</w:t>
            </w:r>
          </w:p>
        </w:tc>
      </w:tr>
      <w:tr>
        <w:tblPrEx/>
        <w:trPr>
          <w:trHeight w:val="195" w:hRule="atLeast"/>
        </w:trPr>
        <w:tc>
          <w:tcPr>
            <w:tcW w:w="1111" w:type="pct"/>
            <w:vMerge w:val="continue"/>
            <w:tcBorders/>
          </w:tcPr>
          <w:p>
            <w:pPr>
              <w:pStyle w:val="style0"/>
              <w:spacing w:before="60" w:after="60"/>
              <w:ind w:firstLine="0"/>
              <w:rPr>
                <w:sz w:val="20"/>
                <w:szCs w:val="20"/>
              </w:rPr>
            </w:pPr>
          </w:p>
        </w:tc>
        <w:tc>
          <w:tcPr>
            <w:tcW w:w="658" w:type="pct"/>
            <w:tcBorders/>
            <w:vAlign w:val="center"/>
          </w:tcPr>
          <w:p>
            <w:pPr>
              <w:pStyle w:val="style0"/>
              <w:spacing w:before="60" w:after="60"/>
              <w:ind w:firstLine="0"/>
              <w:jc w:val="center"/>
              <w:rPr>
                <w:b/>
                <w:bCs/>
                <w:sz w:val="20"/>
                <w:szCs w:val="20"/>
              </w:rPr>
            </w:pPr>
            <w:r>
              <w:rPr>
                <w:b/>
                <w:bCs/>
                <w:sz w:val="20"/>
                <w:szCs w:val="20"/>
              </w:rPr>
              <w:t>Mean ±SD</w:t>
            </w:r>
          </w:p>
        </w:tc>
        <w:tc>
          <w:tcPr>
            <w:tcW w:w="659" w:type="pct"/>
            <w:tcBorders/>
            <w:vAlign w:val="center"/>
          </w:tcPr>
          <w:p>
            <w:pPr>
              <w:pStyle w:val="style0"/>
              <w:spacing w:before="60" w:after="60"/>
              <w:ind w:firstLine="0"/>
              <w:jc w:val="center"/>
              <w:rPr>
                <w:b/>
                <w:bCs/>
                <w:sz w:val="20"/>
                <w:szCs w:val="20"/>
              </w:rPr>
            </w:pPr>
            <w:r>
              <w:rPr>
                <w:b/>
                <w:bCs/>
                <w:sz w:val="20"/>
                <w:szCs w:val="20"/>
              </w:rPr>
              <w:t>Mean ±SD</w:t>
            </w:r>
          </w:p>
        </w:tc>
        <w:tc>
          <w:tcPr>
            <w:tcW w:w="591" w:type="pct"/>
            <w:vMerge w:val="continue"/>
            <w:tcBorders/>
            <w:vAlign w:val="center"/>
          </w:tcPr>
          <w:p>
            <w:pPr>
              <w:pStyle w:val="style0"/>
              <w:spacing w:before="60" w:after="60"/>
              <w:ind w:firstLine="0"/>
              <w:jc w:val="center"/>
              <w:rPr>
                <w:sz w:val="20"/>
                <w:szCs w:val="20"/>
              </w:rPr>
            </w:pPr>
          </w:p>
        </w:tc>
        <w:tc>
          <w:tcPr>
            <w:tcW w:w="699" w:type="pct"/>
            <w:tcBorders/>
            <w:vAlign w:val="center"/>
          </w:tcPr>
          <w:p>
            <w:pPr>
              <w:pStyle w:val="style0"/>
              <w:spacing w:before="60" w:after="60"/>
              <w:ind w:firstLine="0"/>
              <w:jc w:val="center"/>
              <w:rPr>
                <w:b/>
                <w:bCs/>
                <w:sz w:val="20"/>
                <w:szCs w:val="20"/>
              </w:rPr>
            </w:pPr>
            <w:r>
              <w:rPr>
                <w:b/>
                <w:bCs/>
                <w:sz w:val="20"/>
                <w:szCs w:val="20"/>
              </w:rPr>
              <w:t>Mean ±SD</w:t>
            </w:r>
          </w:p>
        </w:tc>
        <w:tc>
          <w:tcPr>
            <w:tcW w:w="668" w:type="pct"/>
            <w:tcBorders/>
            <w:vAlign w:val="center"/>
          </w:tcPr>
          <w:p>
            <w:pPr>
              <w:pStyle w:val="style0"/>
              <w:spacing w:before="60" w:after="60"/>
              <w:ind w:firstLine="0"/>
              <w:jc w:val="center"/>
              <w:rPr>
                <w:b/>
                <w:bCs/>
                <w:sz w:val="20"/>
                <w:szCs w:val="20"/>
              </w:rPr>
            </w:pPr>
            <w:r>
              <w:rPr>
                <w:b/>
                <w:bCs/>
                <w:sz w:val="20"/>
                <w:szCs w:val="20"/>
              </w:rPr>
              <w:t>Mean ±SD</w:t>
            </w:r>
          </w:p>
        </w:tc>
        <w:tc>
          <w:tcPr>
            <w:tcW w:w="614" w:type="pct"/>
            <w:vMerge w:val="continue"/>
            <w:tcBorders/>
            <w:vAlign w:val="center"/>
          </w:tcPr>
          <w:p>
            <w:pPr>
              <w:pStyle w:val="style0"/>
              <w:spacing w:before="60" w:after="60"/>
              <w:ind w:firstLine="0"/>
              <w:jc w:val="center"/>
              <w:rPr>
                <w:sz w:val="20"/>
                <w:szCs w:val="20"/>
              </w:rPr>
            </w:pPr>
          </w:p>
        </w:tc>
      </w:tr>
      <w:tr>
        <w:tblPrEx/>
        <w:trPr>
          <w:trHeight w:val="152" w:hRule="atLeast"/>
        </w:trPr>
        <w:tc>
          <w:tcPr>
            <w:tcW w:w="1111" w:type="pct"/>
            <w:tcBorders/>
          </w:tcPr>
          <w:p>
            <w:pPr>
              <w:pStyle w:val="style0"/>
              <w:spacing w:before="60" w:after="60"/>
              <w:ind w:firstLine="0"/>
              <w:rPr>
                <w:b/>
                <w:bCs/>
                <w:sz w:val="20"/>
                <w:szCs w:val="20"/>
              </w:rPr>
            </w:pPr>
            <w:r>
              <w:rPr>
                <w:b/>
                <w:bCs/>
                <w:sz w:val="20"/>
                <w:szCs w:val="20"/>
              </w:rPr>
              <w:t>Creatinine (mg/</w:t>
            </w:r>
            <w:r>
              <w:rPr>
                <w:b/>
                <w:bCs/>
                <w:sz w:val="20"/>
                <w:szCs w:val="20"/>
              </w:rPr>
              <w:t>dL</w:t>
            </w:r>
            <w:r>
              <w:rPr>
                <w:b/>
                <w:bCs/>
                <w:sz w:val="20"/>
                <w:szCs w:val="20"/>
              </w:rPr>
              <w:t>)</w:t>
            </w:r>
          </w:p>
        </w:tc>
        <w:tc>
          <w:tcPr>
            <w:tcW w:w="658" w:type="pct"/>
            <w:tcBorders/>
            <w:vAlign w:val="center"/>
          </w:tcPr>
          <w:p>
            <w:pPr>
              <w:pStyle w:val="style0"/>
              <w:spacing w:before="60" w:after="60"/>
              <w:ind w:firstLine="0"/>
              <w:jc w:val="center"/>
              <w:rPr>
                <w:sz w:val="20"/>
                <w:szCs w:val="20"/>
              </w:rPr>
            </w:pPr>
            <w:r>
              <w:rPr>
                <w:sz w:val="20"/>
                <w:szCs w:val="20"/>
              </w:rPr>
              <w:t>0.88 (±0.24)</w:t>
            </w:r>
          </w:p>
        </w:tc>
        <w:tc>
          <w:tcPr>
            <w:tcW w:w="659" w:type="pct"/>
            <w:tcBorders/>
            <w:vAlign w:val="center"/>
          </w:tcPr>
          <w:p>
            <w:pPr>
              <w:pStyle w:val="style0"/>
              <w:spacing w:before="60" w:after="60"/>
              <w:ind w:firstLine="0"/>
              <w:jc w:val="center"/>
              <w:rPr>
                <w:sz w:val="20"/>
                <w:szCs w:val="20"/>
              </w:rPr>
            </w:pPr>
            <w:r>
              <w:rPr>
                <w:sz w:val="20"/>
                <w:szCs w:val="20"/>
              </w:rPr>
              <w:t>1.07 (±0.25)</w:t>
            </w:r>
          </w:p>
        </w:tc>
        <w:tc>
          <w:tcPr>
            <w:tcW w:w="591" w:type="pct"/>
            <w:tcBorders/>
            <w:vAlign w:val="center"/>
          </w:tcPr>
          <w:p>
            <w:pPr>
              <w:pStyle w:val="style0"/>
              <w:spacing w:before="60" w:after="60"/>
              <w:ind w:firstLine="0"/>
              <w:jc w:val="center"/>
              <w:rPr>
                <w:b/>
                <w:bCs/>
                <w:sz w:val="20"/>
                <w:szCs w:val="20"/>
              </w:rPr>
            </w:pPr>
            <w:r>
              <w:rPr>
                <w:b/>
                <w:bCs/>
                <w:sz w:val="20"/>
                <w:szCs w:val="20"/>
              </w:rPr>
              <w:t>&lt;0.001*</w:t>
            </w:r>
          </w:p>
        </w:tc>
        <w:tc>
          <w:tcPr>
            <w:tcW w:w="699" w:type="pct"/>
            <w:tcBorders/>
            <w:vAlign w:val="center"/>
          </w:tcPr>
          <w:p>
            <w:pPr>
              <w:pStyle w:val="style0"/>
              <w:spacing w:before="60" w:after="60"/>
              <w:ind w:firstLine="0"/>
              <w:jc w:val="center"/>
              <w:rPr>
                <w:sz w:val="20"/>
                <w:szCs w:val="20"/>
              </w:rPr>
            </w:pPr>
            <w:r>
              <w:rPr>
                <w:sz w:val="20"/>
                <w:szCs w:val="20"/>
              </w:rPr>
              <w:t>1.23 (±0.52)</w:t>
            </w:r>
          </w:p>
        </w:tc>
        <w:tc>
          <w:tcPr>
            <w:tcW w:w="668" w:type="pct"/>
            <w:tcBorders/>
            <w:vAlign w:val="center"/>
          </w:tcPr>
          <w:p>
            <w:pPr>
              <w:pStyle w:val="style0"/>
              <w:spacing w:before="60" w:after="60"/>
              <w:ind w:firstLine="0"/>
              <w:jc w:val="center"/>
              <w:rPr>
                <w:sz w:val="20"/>
                <w:szCs w:val="20"/>
              </w:rPr>
            </w:pPr>
            <w:r>
              <w:rPr>
                <w:sz w:val="20"/>
                <w:szCs w:val="20"/>
              </w:rPr>
              <w:t>1.38 (±0.41)</w:t>
            </w:r>
          </w:p>
        </w:tc>
        <w:tc>
          <w:tcPr>
            <w:tcW w:w="614" w:type="pct"/>
            <w:tcBorders/>
            <w:vAlign w:val="center"/>
          </w:tcPr>
          <w:p>
            <w:pPr>
              <w:pStyle w:val="style0"/>
              <w:spacing w:before="60" w:after="60"/>
              <w:ind w:firstLine="0"/>
              <w:jc w:val="center"/>
              <w:rPr>
                <w:b/>
                <w:bCs/>
                <w:sz w:val="20"/>
                <w:szCs w:val="20"/>
              </w:rPr>
            </w:pPr>
            <w:r>
              <w:rPr>
                <w:b/>
                <w:bCs/>
                <w:sz w:val="20"/>
                <w:szCs w:val="20"/>
              </w:rPr>
              <w:t>0.002*</w:t>
            </w:r>
          </w:p>
        </w:tc>
      </w:tr>
      <w:tr>
        <w:tblPrEx/>
        <w:trPr>
          <w:trHeight w:val="152" w:hRule="atLeast"/>
        </w:trPr>
        <w:tc>
          <w:tcPr>
            <w:tcW w:w="1111" w:type="pct"/>
            <w:tcBorders/>
          </w:tcPr>
          <w:p>
            <w:pPr>
              <w:pStyle w:val="style0"/>
              <w:spacing w:before="60" w:after="60"/>
              <w:ind w:firstLine="0"/>
              <w:rPr>
                <w:b/>
                <w:bCs/>
                <w:sz w:val="20"/>
                <w:szCs w:val="20"/>
              </w:rPr>
            </w:pPr>
            <w:r>
              <w:rPr>
                <w:b/>
                <w:bCs/>
                <w:sz w:val="20"/>
                <w:szCs w:val="20"/>
              </w:rPr>
              <w:t>Urea (mg/</w:t>
            </w:r>
            <w:r>
              <w:rPr>
                <w:b/>
                <w:bCs/>
                <w:sz w:val="20"/>
                <w:szCs w:val="20"/>
              </w:rPr>
              <w:t>dL</w:t>
            </w:r>
            <w:r>
              <w:rPr>
                <w:b/>
                <w:bCs/>
                <w:sz w:val="20"/>
                <w:szCs w:val="20"/>
              </w:rPr>
              <w:t>)</w:t>
            </w:r>
          </w:p>
        </w:tc>
        <w:tc>
          <w:tcPr>
            <w:tcW w:w="658" w:type="pct"/>
            <w:tcBorders/>
            <w:vAlign w:val="center"/>
          </w:tcPr>
          <w:p>
            <w:pPr>
              <w:pStyle w:val="style0"/>
              <w:spacing w:before="60" w:after="60"/>
              <w:ind w:firstLine="0"/>
              <w:jc w:val="center"/>
              <w:rPr>
                <w:sz w:val="20"/>
                <w:szCs w:val="20"/>
              </w:rPr>
            </w:pPr>
            <w:r>
              <w:rPr>
                <w:sz w:val="20"/>
                <w:szCs w:val="20"/>
              </w:rPr>
              <w:t>28.1 (±20.1)</w:t>
            </w:r>
          </w:p>
        </w:tc>
        <w:tc>
          <w:tcPr>
            <w:tcW w:w="659" w:type="pct"/>
            <w:tcBorders/>
            <w:vAlign w:val="center"/>
          </w:tcPr>
          <w:p>
            <w:pPr>
              <w:pStyle w:val="style0"/>
              <w:spacing w:before="60" w:after="60"/>
              <w:ind w:firstLine="0"/>
              <w:jc w:val="center"/>
              <w:rPr>
                <w:sz w:val="20"/>
                <w:szCs w:val="20"/>
              </w:rPr>
            </w:pPr>
            <w:r>
              <w:rPr>
                <w:sz w:val="20"/>
                <w:szCs w:val="20"/>
              </w:rPr>
              <w:t>30.7 (±6.4)</w:t>
            </w:r>
          </w:p>
        </w:tc>
        <w:tc>
          <w:tcPr>
            <w:tcW w:w="591" w:type="pct"/>
            <w:tcBorders/>
            <w:vAlign w:val="center"/>
          </w:tcPr>
          <w:p>
            <w:pPr>
              <w:pStyle w:val="style0"/>
              <w:spacing w:before="60" w:after="60"/>
              <w:ind w:firstLine="0"/>
              <w:jc w:val="center"/>
              <w:rPr>
                <w:b/>
                <w:bCs/>
                <w:sz w:val="20"/>
                <w:szCs w:val="20"/>
              </w:rPr>
            </w:pPr>
            <w:r>
              <w:rPr>
                <w:b/>
                <w:bCs/>
                <w:sz w:val="20"/>
                <w:szCs w:val="20"/>
              </w:rPr>
              <w:t>&lt;0.001*</w:t>
            </w:r>
          </w:p>
        </w:tc>
        <w:tc>
          <w:tcPr>
            <w:tcW w:w="699" w:type="pct"/>
            <w:tcBorders/>
            <w:vAlign w:val="center"/>
          </w:tcPr>
          <w:p>
            <w:pPr>
              <w:pStyle w:val="style0"/>
              <w:spacing w:before="60" w:after="60"/>
              <w:ind w:firstLine="0"/>
              <w:jc w:val="center"/>
              <w:rPr>
                <w:sz w:val="20"/>
                <w:szCs w:val="20"/>
              </w:rPr>
            </w:pPr>
            <w:r>
              <w:rPr>
                <w:sz w:val="20"/>
                <w:szCs w:val="20"/>
              </w:rPr>
              <w:t>39.1 (±14.7)</w:t>
            </w:r>
          </w:p>
        </w:tc>
        <w:tc>
          <w:tcPr>
            <w:tcW w:w="668" w:type="pct"/>
            <w:tcBorders/>
            <w:vAlign w:val="center"/>
          </w:tcPr>
          <w:p>
            <w:pPr>
              <w:pStyle w:val="style0"/>
              <w:spacing w:before="60" w:after="60"/>
              <w:ind w:firstLine="0"/>
              <w:jc w:val="center"/>
              <w:rPr>
                <w:sz w:val="20"/>
                <w:szCs w:val="20"/>
              </w:rPr>
            </w:pPr>
            <w:r>
              <w:rPr>
                <w:sz w:val="20"/>
                <w:szCs w:val="20"/>
              </w:rPr>
              <w:t>44.5 (±17.2)</w:t>
            </w:r>
          </w:p>
        </w:tc>
        <w:tc>
          <w:tcPr>
            <w:tcW w:w="614" w:type="pct"/>
            <w:tcBorders/>
            <w:vAlign w:val="center"/>
          </w:tcPr>
          <w:p>
            <w:pPr>
              <w:pStyle w:val="style0"/>
              <w:spacing w:before="60" w:after="60"/>
              <w:ind w:firstLine="0"/>
              <w:jc w:val="center"/>
              <w:rPr>
                <w:b/>
                <w:bCs/>
                <w:sz w:val="20"/>
                <w:szCs w:val="20"/>
              </w:rPr>
            </w:pPr>
            <w:r>
              <w:rPr>
                <w:b/>
                <w:bCs/>
                <w:sz w:val="20"/>
                <w:szCs w:val="20"/>
              </w:rPr>
              <w:t>&lt;0.001*</w:t>
            </w:r>
          </w:p>
        </w:tc>
      </w:tr>
      <w:tr>
        <w:tblPrEx/>
        <w:trPr>
          <w:trHeight w:val="152" w:hRule="atLeast"/>
        </w:trPr>
        <w:tc>
          <w:tcPr>
            <w:tcW w:w="1111" w:type="pct"/>
            <w:tcBorders/>
          </w:tcPr>
          <w:p>
            <w:pPr>
              <w:pStyle w:val="style0"/>
              <w:spacing w:before="60" w:after="60"/>
              <w:ind w:firstLine="0"/>
              <w:rPr>
                <w:b/>
                <w:bCs/>
                <w:sz w:val="20"/>
                <w:szCs w:val="20"/>
              </w:rPr>
            </w:pPr>
            <w:r>
              <w:rPr>
                <w:b/>
                <w:bCs/>
                <w:sz w:val="20"/>
                <w:szCs w:val="20"/>
              </w:rPr>
              <w:t>Uric Acid (mg/</w:t>
            </w:r>
            <w:r>
              <w:rPr>
                <w:b/>
                <w:bCs/>
                <w:sz w:val="20"/>
                <w:szCs w:val="20"/>
              </w:rPr>
              <w:t>dL</w:t>
            </w:r>
            <w:r>
              <w:rPr>
                <w:b/>
                <w:bCs/>
                <w:sz w:val="20"/>
                <w:szCs w:val="20"/>
              </w:rPr>
              <w:t>)</w:t>
            </w:r>
          </w:p>
        </w:tc>
        <w:tc>
          <w:tcPr>
            <w:tcW w:w="658" w:type="pct"/>
            <w:tcBorders/>
            <w:vAlign w:val="center"/>
          </w:tcPr>
          <w:p>
            <w:pPr>
              <w:pStyle w:val="style0"/>
              <w:spacing w:before="60" w:after="60"/>
              <w:ind w:firstLine="0"/>
              <w:jc w:val="center"/>
              <w:rPr>
                <w:sz w:val="20"/>
                <w:szCs w:val="20"/>
              </w:rPr>
            </w:pPr>
            <w:r>
              <w:rPr>
                <w:sz w:val="20"/>
                <w:szCs w:val="20"/>
              </w:rPr>
              <w:t>4.1 (±1.6)</w:t>
            </w:r>
          </w:p>
        </w:tc>
        <w:tc>
          <w:tcPr>
            <w:tcW w:w="659" w:type="pct"/>
            <w:tcBorders/>
            <w:vAlign w:val="center"/>
          </w:tcPr>
          <w:p>
            <w:pPr>
              <w:pStyle w:val="style0"/>
              <w:spacing w:before="60" w:after="60"/>
              <w:ind w:firstLine="0"/>
              <w:jc w:val="center"/>
              <w:rPr>
                <w:sz w:val="20"/>
                <w:szCs w:val="20"/>
              </w:rPr>
            </w:pPr>
            <w:r>
              <w:rPr>
                <w:sz w:val="20"/>
                <w:szCs w:val="20"/>
              </w:rPr>
              <w:t>5.4 (±1.2)</w:t>
            </w:r>
          </w:p>
        </w:tc>
        <w:tc>
          <w:tcPr>
            <w:tcW w:w="591" w:type="pct"/>
            <w:tcBorders/>
            <w:vAlign w:val="center"/>
          </w:tcPr>
          <w:p>
            <w:pPr>
              <w:pStyle w:val="style0"/>
              <w:spacing w:before="60" w:after="60"/>
              <w:ind w:firstLine="0"/>
              <w:jc w:val="center"/>
              <w:rPr>
                <w:b/>
                <w:bCs/>
                <w:sz w:val="20"/>
                <w:szCs w:val="20"/>
              </w:rPr>
            </w:pPr>
            <w:r>
              <w:rPr>
                <w:b/>
                <w:bCs/>
                <w:sz w:val="20"/>
                <w:szCs w:val="20"/>
              </w:rPr>
              <w:t>0.002*</w:t>
            </w:r>
          </w:p>
        </w:tc>
        <w:tc>
          <w:tcPr>
            <w:tcW w:w="699" w:type="pct"/>
            <w:tcBorders/>
            <w:vAlign w:val="center"/>
          </w:tcPr>
          <w:p>
            <w:pPr>
              <w:pStyle w:val="style0"/>
              <w:spacing w:before="60" w:after="60"/>
              <w:ind w:firstLine="0"/>
              <w:jc w:val="center"/>
              <w:rPr>
                <w:sz w:val="20"/>
                <w:szCs w:val="20"/>
              </w:rPr>
            </w:pPr>
            <w:r>
              <w:rPr>
                <w:sz w:val="20"/>
                <w:szCs w:val="20"/>
              </w:rPr>
              <w:t>6.4 (±3.8)</w:t>
            </w:r>
          </w:p>
        </w:tc>
        <w:tc>
          <w:tcPr>
            <w:tcW w:w="668" w:type="pct"/>
            <w:tcBorders/>
            <w:vAlign w:val="center"/>
          </w:tcPr>
          <w:p>
            <w:pPr>
              <w:pStyle w:val="style0"/>
              <w:spacing w:before="60" w:after="60"/>
              <w:ind w:firstLine="0"/>
              <w:jc w:val="center"/>
              <w:rPr>
                <w:sz w:val="20"/>
                <w:szCs w:val="20"/>
              </w:rPr>
            </w:pPr>
            <w:r>
              <w:rPr>
                <w:sz w:val="20"/>
                <w:szCs w:val="20"/>
              </w:rPr>
              <w:t>6.7 (±4.1)</w:t>
            </w:r>
          </w:p>
        </w:tc>
        <w:tc>
          <w:tcPr>
            <w:tcW w:w="614" w:type="pct"/>
            <w:tcBorders/>
            <w:vAlign w:val="center"/>
          </w:tcPr>
          <w:p>
            <w:pPr>
              <w:pStyle w:val="style0"/>
              <w:spacing w:before="60" w:after="60"/>
              <w:ind w:firstLine="0"/>
              <w:jc w:val="center"/>
              <w:rPr>
                <w:sz w:val="20"/>
                <w:szCs w:val="20"/>
              </w:rPr>
            </w:pPr>
            <w:r>
              <w:rPr>
                <w:sz w:val="20"/>
                <w:szCs w:val="20"/>
              </w:rPr>
              <w:t>0.591</w:t>
            </w:r>
          </w:p>
        </w:tc>
      </w:tr>
      <w:tr>
        <w:tblPrEx/>
        <w:trPr>
          <w:trHeight w:val="152" w:hRule="atLeast"/>
        </w:trPr>
        <w:tc>
          <w:tcPr>
            <w:tcW w:w="1111" w:type="pct"/>
            <w:tcBorders/>
          </w:tcPr>
          <w:p>
            <w:pPr>
              <w:pStyle w:val="style0"/>
              <w:spacing w:before="60" w:after="60"/>
              <w:ind w:firstLine="0"/>
              <w:rPr>
                <w:b/>
                <w:bCs/>
                <w:sz w:val="20"/>
                <w:szCs w:val="20"/>
              </w:rPr>
            </w:pPr>
            <w:r>
              <w:rPr>
                <w:b/>
                <w:bCs/>
                <w:sz w:val="20"/>
                <w:szCs w:val="20"/>
              </w:rPr>
              <w:t>ACR (mg/g)</w:t>
            </w:r>
          </w:p>
        </w:tc>
        <w:tc>
          <w:tcPr>
            <w:tcW w:w="658" w:type="pct"/>
            <w:tcBorders/>
            <w:vAlign w:val="center"/>
          </w:tcPr>
          <w:p>
            <w:pPr>
              <w:pStyle w:val="style0"/>
              <w:spacing w:before="60" w:after="60"/>
              <w:ind w:firstLine="0"/>
              <w:jc w:val="center"/>
              <w:rPr>
                <w:sz w:val="20"/>
                <w:szCs w:val="20"/>
              </w:rPr>
            </w:pPr>
            <w:r>
              <w:rPr>
                <w:sz w:val="20"/>
                <w:szCs w:val="20"/>
              </w:rPr>
              <w:t>20.53 (±21.75)</w:t>
            </w:r>
          </w:p>
        </w:tc>
        <w:tc>
          <w:tcPr>
            <w:tcW w:w="659" w:type="pct"/>
            <w:tcBorders/>
            <w:vAlign w:val="center"/>
          </w:tcPr>
          <w:p>
            <w:pPr>
              <w:pStyle w:val="style0"/>
              <w:spacing w:before="60" w:after="60"/>
              <w:ind w:firstLine="0"/>
              <w:jc w:val="center"/>
              <w:rPr>
                <w:sz w:val="20"/>
                <w:szCs w:val="20"/>
              </w:rPr>
            </w:pPr>
            <w:r>
              <w:rPr>
                <w:sz w:val="20"/>
                <w:szCs w:val="20"/>
              </w:rPr>
              <w:t>20.50 (±15.19)</w:t>
            </w:r>
          </w:p>
        </w:tc>
        <w:tc>
          <w:tcPr>
            <w:tcW w:w="591" w:type="pct"/>
            <w:tcBorders/>
            <w:vAlign w:val="center"/>
          </w:tcPr>
          <w:p>
            <w:pPr>
              <w:pStyle w:val="style0"/>
              <w:spacing w:before="60" w:after="60"/>
              <w:ind w:firstLine="0"/>
              <w:jc w:val="center"/>
              <w:rPr>
                <w:sz w:val="20"/>
                <w:szCs w:val="20"/>
              </w:rPr>
            </w:pPr>
            <w:r>
              <w:rPr>
                <w:sz w:val="20"/>
                <w:szCs w:val="20"/>
              </w:rPr>
              <w:t>0.861</w:t>
            </w:r>
          </w:p>
        </w:tc>
        <w:tc>
          <w:tcPr>
            <w:tcW w:w="699" w:type="pct"/>
            <w:tcBorders/>
            <w:vAlign w:val="center"/>
          </w:tcPr>
          <w:p>
            <w:pPr>
              <w:pStyle w:val="style0"/>
              <w:spacing w:before="60" w:after="60"/>
              <w:ind w:firstLine="0"/>
              <w:jc w:val="center"/>
              <w:rPr>
                <w:sz w:val="20"/>
                <w:szCs w:val="20"/>
              </w:rPr>
            </w:pPr>
            <w:r>
              <w:rPr>
                <w:sz w:val="20"/>
                <w:szCs w:val="20"/>
              </w:rPr>
              <w:t>76.26 (±134.05)</w:t>
            </w:r>
          </w:p>
        </w:tc>
        <w:tc>
          <w:tcPr>
            <w:tcW w:w="668" w:type="pct"/>
            <w:tcBorders/>
            <w:vAlign w:val="center"/>
          </w:tcPr>
          <w:p>
            <w:pPr>
              <w:pStyle w:val="style0"/>
              <w:spacing w:before="60" w:after="60"/>
              <w:ind w:firstLine="0"/>
              <w:jc w:val="center"/>
              <w:rPr>
                <w:sz w:val="20"/>
                <w:szCs w:val="20"/>
              </w:rPr>
            </w:pPr>
            <w:r>
              <w:rPr>
                <w:sz w:val="20"/>
                <w:szCs w:val="20"/>
              </w:rPr>
              <w:t>74.88 (±96.51)</w:t>
            </w:r>
          </w:p>
        </w:tc>
        <w:tc>
          <w:tcPr>
            <w:tcW w:w="614" w:type="pct"/>
            <w:tcBorders/>
            <w:vAlign w:val="center"/>
          </w:tcPr>
          <w:p>
            <w:pPr>
              <w:pStyle w:val="style0"/>
              <w:spacing w:before="60" w:after="60"/>
              <w:ind w:firstLine="0"/>
              <w:jc w:val="center"/>
              <w:rPr>
                <w:sz w:val="20"/>
                <w:szCs w:val="20"/>
              </w:rPr>
            </w:pPr>
            <w:r>
              <w:rPr>
                <w:sz w:val="20"/>
                <w:szCs w:val="20"/>
              </w:rPr>
              <w:t>0.110</w:t>
            </w:r>
          </w:p>
        </w:tc>
      </w:tr>
      <w:tr>
        <w:tblPrEx/>
        <w:trPr>
          <w:trHeight w:val="148" w:hRule="atLeast"/>
        </w:trPr>
        <w:tc>
          <w:tcPr>
            <w:tcW w:w="1111" w:type="pct"/>
            <w:tcBorders/>
          </w:tcPr>
          <w:p>
            <w:pPr>
              <w:pStyle w:val="style0"/>
              <w:spacing w:before="60" w:after="60"/>
              <w:ind w:firstLine="0"/>
              <w:rPr>
                <w:b/>
                <w:bCs/>
                <w:sz w:val="20"/>
                <w:szCs w:val="20"/>
              </w:rPr>
            </w:pPr>
            <w:r>
              <w:rPr>
                <w:b/>
                <w:bCs/>
                <w:sz w:val="20"/>
                <w:szCs w:val="20"/>
              </w:rPr>
              <w:t>EGFR (mL/min/1.73m²)</w:t>
            </w:r>
          </w:p>
        </w:tc>
        <w:tc>
          <w:tcPr>
            <w:tcW w:w="658" w:type="pct"/>
            <w:tcBorders/>
            <w:vAlign w:val="center"/>
          </w:tcPr>
          <w:p>
            <w:pPr>
              <w:pStyle w:val="style0"/>
              <w:spacing w:before="60" w:after="60"/>
              <w:ind w:firstLine="0"/>
              <w:jc w:val="center"/>
              <w:rPr>
                <w:sz w:val="20"/>
                <w:szCs w:val="20"/>
              </w:rPr>
            </w:pPr>
            <w:r>
              <w:rPr>
                <w:sz w:val="20"/>
                <w:szCs w:val="20"/>
              </w:rPr>
              <w:t>92.9 (±16.9)</w:t>
            </w:r>
          </w:p>
        </w:tc>
        <w:tc>
          <w:tcPr>
            <w:tcW w:w="659" w:type="pct"/>
            <w:tcBorders/>
            <w:vAlign w:val="center"/>
          </w:tcPr>
          <w:p>
            <w:pPr>
              <w:pStyle w:val="style0"/>
              <w:spacing w:before="60" w:after="60"/>
              <w:ind w:firstLine="0"/>
              <w:jc w:val="center"/>
              <w:rPr>
                <w:sz w:val="20"/>
                <w:szCs w:val="20"/>
              </w:rPr>
            </w:pPr>
            <w:r>
              <w:rPr>
                <w:sz w:val="20"/>
                <w:szCs w:val="20"/>
              </w:rPr>
              <w:t>96.6 (±6.8)</w:t>
            </w:r>
          </w:p>
        </w:tc>
        <w:tc>
          <w:tcPr>
            <w:tcW w:w="591" w:type="pct"/>
            <w:tcBorders/>
            <w:vAlign w:val="center"/>
          </w:tcPr>
          <w:p>
            <w:pPr>
              <w:pStyle w:val="style0"/>
              <w:spacing w:before="60" w:after="60"/>
              <w:ind w:firstLine="0"/>
              <w:jc w:val="center"/>
              <w:rPr>
                <w:sz w:val="20"/>
                <w:szCs w:val="20"/>
              </w:rPr>
            </w:pPr>
            <w:r>
              <w:rPr>
                <w:sz w:val="20"/>
                <w:szCs w:val="20"/>
              </w:rPr>
              <w:t>0.629</w:t>
            </w:r>
          </w:p>
        </w:tc>
        <w:tc>
          <w:tcPr>
            <w:tcW w:w="699" w:type="pct"/>
            <w:tcBorders/>
            <w:vAlign w:val="center"/>
          </w:tcPr>
          <w:p>
            <w:pPr>
              <w:pStyle w:val="style0"/>
              <w:spacing w:before="60" w:after="60"/>
              <w:ind w:firstLine="0"/>
              <w:jc w:val="center"/>
              <w:rPr>
                <w:sz w:val="20"/>
                <w:szCs w:val="20"/>
              </w:rPr>
            </w:pPr>
            <w:r>
              <w:rPr>
                <w:sz w:val="20"/>
                <w:szCs w:val="20"/>
              </w:rPr>
              <w:t>81.8 (±35.7)</w:t>
            </w:r>
          </w:p>
        </w:tc>
        <w:tc>
          <w:tcPr>
            <w:tcW w:w="668" w:type="pct"/>
            <w:tcBorders/>
            <w:vAlign w:val="center"/>
          </w:tcPr>
          <w:p>
            <w:pPr>
              <w:pStyle w:val="style0"/>
              <w:spacing w:before="60" w:after="60"/>
              <w:ind w:firstLine="0"/>
              <w:jc w:val="center"/>
              <w:rPr>
                <w:sz w:val="20"/>
                <w:szCs w:val="20"/>
              </w:rPr>
            </w:pPr>
            <w:r>
              <w:rPr>
                <w:sz w:val="20"/>
                <w:szCs w:val="20"/>
              </w:rPr>
              <w:t>77.4 (±28.7)</w:t>
            </w:r>
          </w:p>
        </w:tc>
        <w:tc>
          <w:tcPr>
            <w:tcW w:w="614" w:type="pct"/>
            <w:tcBorders/>
            <w:vAlign w:val="center"/>
          </w:tcPr>
          <w:p>
            <w:pPr>
              <w:pStyle w:val="style0"/>
              <w:spacing w:before="60" w:after="60"/>
              <w:ind w:firstLine="0"/>
              <w:jc w:val="center"/>
              <w:rPr>
                <w:sz w:val="20"/>
                <w:szCs w:val="20"/>
              </w:rPr>
            </w:pPr>
            <w:r>
              <w:rPr>
                <w:sz w:val="20"/>
                <w:szCs w:val="20"/>
              </w:rPr>
              <w:t>0.498</w:t>
            </w:r>
          </w:p>
        </w:tc>
      </w:tr>
    </w:tbl>
    <w:p>
      <w:pPr>
        <w:pStyle w:val="style0"/>
        <w:spacing w:before="100" w:after="100" w:lineRule="auto" w:line="240"/>
        <w:ind w:firstLine="0"/>
        <w:rPr>
          <w:sz w:val="20"/>
          <w:szCs w:val="20"/>
        </w:rPr>
      </w:pPr>
      <w:r>
        <w:rPr>
          <w:sz w:val="20"/>
          <w:szCs w:val="20"/>
        </w:rPr>
        <w:t>*p Value is significant</w:t>
      </w:r>
    </w:p>
    <w:p>
      <w:pPr>
        <w:pStyle w:val="style0"/>
        <w:spacing w:before="100" w:after="100" w:lineRule="auto" w:line="240"/>
        <w:ind w:firstLine="0"/>
        <w:rPr>
          <w:b/>
          <w:bCs/>
          <w:sz w:val="20"/>
          <w:szCs w:val="20"/>
        </w:rPr>
      </w:pPr>
      <w:r>
        <w:rPr>
          <w:b/>
          <w:bCs/>
          <w:sz w:val="20"/>
          <w:szCs w:val="20"/>
        </w:rPr>
        <w:t xml:space="preserve">Table 5: </w:t>
      </w:r>
      <w:r>
        <w:rPr>
          <w:b/>
          <w:bCs/>
          <w:sz w:val="20"/>
          <w:szCs w:val="20"/>
        </w:rPr>
        <w:t>Comparison of p</w:t>
      </w:r>
      <w:r>
        <w:rPr>
          <w:b/>
          <w:bCs/>
          <w:sz w:val="20"/>
          <w:szCs w:val="20"/>
        </w:rPr>
        <w:t>arameters</w:t>
      </w:r>
      <w:r>
        <w:rPr>
          <w:b/>
          <w:bCs/>
          <w:sz w:val="20"/>
          <w:szCs w:val="20"/>
        </w:rPr>
        <w:t xml:space="preserve"> c</w:t>
      </w:r>
      <w:r>
        <w:rPr>
          <w:b/>
          <w:bCs/>
          <w:sz w:val="20"/>
          <w:szCs w:val="20"/>
        </w:rPr>
        <w:t>hange</w:t>
      </w:r>
      <w:r>
        <w:rPr>
          <w:b/>
          <w:bCs/>
          <w:sz w:val="20"/>
          <w:szCs w:val="20"/>
        </w:rPr>
        <w:t>s difference after treatment</w:t>
      </w:r>
      <w:r>
        <w:rPr>
          <w:b/>
          <w:bCs/>
          <w:sz w:val="20"/>
          <w:szCs w:val="20"/>
        </w:rPr>
        <w:t xml:space="preserve"> between both groups</w:t>
      </w:r>
    </w:p>
    <w:tbl>
      <w:tblPr>
        <w:tblStyle w:val="style154"/>
        <w:tblW w:w="5000" w:type="pct"/>
        <w:tblLook w:val="04A0" w:firstRow="1" w:lastRow="0" w:firstColumn="1" w:lastColumn="0" w:noHBand="0" w:noVBand="1"/>
      </w:tblPr>
      <w:tblGrid>
        <w:gridCol w:w="3075"/>
        <w:gridCol w:w="1977"/>
        <w:gridCol w:w="2413"/>
        <w:gridCol w:w="1165"/>
      </w:tblGrid>
      <w:tr>
        <w:trPr>
          <w:trHeight w:val="876" w:hRule="atLeast"/>
        </w:trPr>
        <w:tc>
          <w:tcPr>
            <w:tcW w:w="1781" w:type="pct"/>
            <w:vMerge w:val="restart"/>
            <w:tcBorders/>
          </w:tcPr>
          <w:p>
            <w:pPr>
              <w:pStyle w:val="style0"/>
              <w:spacing w:before="100" w:after="100"/>
              <w:ind w:firstLine="0"/>
              <w:rPr>
                <w:sz w:val="20"/>
                <w:szCs w:val="20"/>
              </w:rPr>
            </w:pPr>
            <w:r>
              <w:rPr>
                <w:sz w:val="20"/>
                <w:szCs w:val="20"/>
              </w:rPr>
              <w:t>Parameter</w:t>
            </w:r>
          </w:p>
        </w:tc>
        <w:tc>
          <w:tcPr>
            <w:tcW w:w="1145" w:type="pct"/>
            <w:tcBorders/>
            <w:vAlign w:val="center"/>
          </w:tcPr>
          <w:p>
            <w:pPr>
              <w:pStyle w:val="style0"/>
              <w:spacing w:before="100" w:after="100"/>
              <w:ind w:firstLine="0"/>
              <w:jc w:val="center"/>
              <w:rPr>
                <w:b/>
                <w:bCs/>
                <w:sz w:val="20"/>
                <w:szCs w:val="20"/>
              </w:rPr>
            </w:pPr>
            <w:r>
              <w:rPr>
                <w:b/>
                <w:bCs/>
                <w:sz w:val="20"/>
                <w:szCs w:val="20"/>
              </w:rPr>
              <w:t>DM Only</w:t>
            </w:r>
          </w:p>
          <w:p>
            <w:pPr>
              <w:pStyle w:val="style0"/>
              <w:spacing w:before="100" w:after="100"/>
              <w:ind w:firstLine="0"/>
              <w:jc w:val="center"/>
              <w:rPr>
                <w:b/>
                <w:bCs/>
                <w:sz w:val="20"/>
                <w:szCs w:val="20"/>
              </w:rPr>
            </w:pPr>
            <w:r>
              <w:rPr>
                <w:b/>
                <w:bCs/>
                <w:sz w:val="20"/>
                <w:szCs w:val="20"/>
              </w:rPr>
              <w:t>(N=86)</w:t>
            </w:r>
          </w:p>
        </w:tc>
        <w:tc>
          <w:tcPr>
            <w:tcW w:w="1398" w:type="pct"/>
            <w:tcBorders/>
            <w:vAlign w:val="center"/>
          </w:tcPr>
          <w:p>
            <w:pPr>
              <w:pStyle w:val="style0"/>
              <w:spacing w:before="100" w:after="100"/>
              <w:ind w:firstLine="0"/>
              <w:jc w:val="center"/>
              <w:rPr>
                <w:b/>
                <w:bCs/>
                <w:sz w:val="20"/>
                <w:szCs w:val="20"/>
              </w:rPr>
            </w:pPr>
            <w:r>
              <w:rPr>
                <w:b/>
                <w:bCs/>
                <w:sz w:val="20"/>
                <w:szCs w:val="20"/>
              </w:rPr>
              <w:t>DM with comorbidity</w:t>
            </w:r>
          </w:p>
          <w:p>
            <w:pPr>
              <w:pStyle w:val="style0"/>
              <w:spacing w:before="100" w:after="100"/>
              <w:ind w:firstLine="0"/>
              <w:jc w:val="center"/>
              <w:rPr>
                <w:b/>
                <w:bCs/>
                <w:sz w:val="20"/>
                <w:szCs w:val="20"/>
              </w:rPr>
            </w:pPr>
            <w:r>
              <w:rPr>
                <w:b/>
                <w:bCs/>
                <w:sz w:val="20"/>
                <w:szCs w:val="20"/>
              </w:rPr>
              <w:t>(N=30)</w:t>
            </w:r>
          </w:p>
        </w:tc>
        <w:tc>
          <w:tcPr>
            <w:tcW w:w="675" w:type="pct"/>
            <w:vMerge w:val="restart"/>
            <w:tcBorders/>
            <w:vAlign w:val="center"/>
          </w:tcPr>
          <w:p>
            <w:pPr>
              <w:pStyle w:val="style0"/>
              <w:spacing w:before="100" w:after="100"/>
              <w:ind w:firstLine="0"/>
              <w:jc w:val="center"/>
              <w:rPr>
                <w:b/>
                <w:bCs/>
                <w:sz w:val="20"/>
                <w:szCs w:val="20"/>
              </w:rPr>
            </w:pPr>
            <w:r>
              <w:rPr>
                <w:b/>
                <w:bCs/>
                <w:sz w:val="20"/>
                <w:szCs w:val="20"/>
              </w:rPr>
              <w:t>p-Value</w:t>
            </w:r>
          </w:p>
        </w:tc>
      </w:tr>
      <w:tr>
        <w:tblPrEx/>
        <w:trPr>
          <w:trHeight w:val="373" w:hRule="atLeast"/>
        </w:trPr>
        <w:tc>
          <w:tcPr>
            <w:tcW w:w="1781" w:type="pct"/>
            <w:vMerge w:val="continue"/>
            <w:tcBorders/>
          </w:tcPr>
          <w:p>
            <w:pPr>
              <w:pStyle w:val="style0"/>
              <w:spacing w:before="100" w:after="100"/>
              <w:ind w:firstLine="0"/>
              <w:rPr>
                <w:sz w:val="20"/>
                <w:szCs w:val="20"/>
              </w:rPr>
            </w:pPr>
          </w:p>
        </w:tc>
        <w:tc>
          <w:tcPr>
            <w:tcW w:w="1145" w:type="pct"/>
            <w:tcBorders/>
            <w:vAlign w:val="center"/>
          </w:tcPr>
          <w:p>
            <w:pPr>
              <w:pStyle w:val="style0"/>
              <w:spacing w:before="100" w:after="100"/>
              <w:ind w:firstLine="0"/>
              <w:jc w:val="center"/>
              <w:rPr>
                <w:b/>
                <w:bCs/>
                <w:sz w:val="20"/>
                <w:szCs w:val="20"/>
              </w:rPr>
            </w:pPr>
            <w:r>
              <w:rPr>
                <w:b/>
                <w:bCs/>
                <w:sz w:val="20"/>
                <w:szCs w:val="20"/>
              </w:rPr>
              <w:t>Mean ±SD</w:t>
            </w:r>
          </w:p>
        </w:tc>
        <w:tc>
          <w:tcPr>
            <w:tcW w:w="1398" w:type="pct"/>
            <w:tcBorders/>
            <w:vAlign w:val="center"/>
          </w:tcPr>
          <w:p>
            <w:pPr>
              <w:pStyle w:val="style0"/>
              <w:spacing w:before="100" w:after="100"/>
              <w:ind w:firstLine="0"/>
              <w:jc w:val="center"/>
              <w:rPr>
                <w:b/>
                <w:bCs/>
                <w:sz w:val="20"/>
                <w:szCs w:val="20"/>
              </w:rPr>
            </w:pPr>
            <w:r>
              <w:rPr>
                <w:b/>
                <w:bCs/>
                <w:sz w:val="20"/>
                <w:szCs w:val="20"/>
              </w:rPr>
              <w:t>Mean ±SD</w:t>
            </w:r>
          </w:p>
        </w:tc>
        <w:tc>
          <w:tcPr>
            <w:tcW w:w="675" w:type="pct"/>
            <w:vMerge w:val="continue"/>
            <w:tcBorders/>
            <w:vAlign w:val="center"/>
          </w:tcPr>
          <w:p>
            <w:pPr>
              <w:pStyle w:val="style0"/>
              <w:spacing w:before="100" w:after="100"/>
              <w:ind w:firstLine="0"/>
              <w:jc w:val="center"/>
              <w:rPr>
                <w:sz w:val="20"/>
                <w:szCs w:val="20"/>
              </w:rPr>
            </w:pPr>
          </w:p>
        </w:tc>
      </w:tr>
      <w:tr>
        <w:tblPrEx/>
        <w:trPr>
          <w:trHeight w:val="373" w:hRule="atLeast"/>
        </w:trPr>
        <w:tc>
          <w:tcPr>
            <w:tcW w:w="1781" w:type="pct"/>
            <w:tcBorders/>
          </w:tcPr>
          <w:p>
            <w:pPr>
              <w:pStyle w:val="style0"/>
              <w:spacing w:before="100" w:after="100"/>
              <w:ind w:firstLine="0"/>
              <w:rPr>
                <w:b/>
                <w:bCs/>
                <w:sz w:val="20"/>
                <w:szCs w:val="20"/>
              </w:rPr>
            </w:pPr>
            <w:r>
              <w:rPr>
                <w:b/>
                <w:bCs/>
                <w:sz w:val="20"/>
                <w:szCs w:val="20"/>
              </w:rPr>
              <w:t>Hemoglobin (g/</w:t>
            </w:r>
            <w:r>
              <w:rPr>
                <w:b/>
                <w:bCs/>
                <w:sz w:val="20"/>
                <w:szCs w:val="20"/>
              </w:rPr>
              <w:t>dL</w:t>
            </w:r>
            <w:r>
              <w:rPr>
                <w:b/>
                <w:bCs/>
                <w:sz w:val="20"/>
                <w:szCs w:val="20"/>
              </w:rPr>
              <w:t>)</w:t>
            </w:r>
          </w:p>
        </w:tc>
        <w:tc>
          <w:tcPr>
            <w:tcW w:w="1145" w:type="pct"/>
            <w:tcBorders/>
            <w:vAlign w:val="center"/>
          </w:tcPr>
          <w:p>
            <w:pPr>
              <w:pStyle w:val="style0"/>
              <w:spacing w:before="100" w:after="100"/>
              <w:ind w:firstLine="0"/>
              <w:jc w:val="center"/>
              <w:rPr>
                <w:sz w:val="20"/>
                <w:szCs w:val="20"/>
              </w:rPr>
            </w:pPr>
            <w:r>
              <w:rPr>
                <w:sz w:val="20"/>
                <w:szCs w:val="20"/>
              </w:rPr>
              <w:t>0.5 ± 0.3</w:t>
            </w:r>
          </w:p>
        </w:tc>
        <w:tc>
          <w:tcPr>
            <w:tcW w:w="1398" w:type="pct"/>
            <w:tcBorders/>
            <w:vAlign w:val="center"/>
          </w:tcPr>
          <w:p>
            <w:pPr>
              <w:pStyle w:val="style0"/>
              <w:spacing w:before="100" w:after="100"/>
              <w:ind w:firstLine="0"/>
              <w:jc w:val="center"/>
              <w:rPr>
                <w:sz w:val="20"/>
                <w:szCs w:val="20"/>
              </w:rPr>
            </w:pPr>
            <w:r>
              <w:rPr>
                <w:sz w:val="20"/>
                <w:szCs w:val="20"/>
              </w:rPr>
              <w:t>0.4 ± 0.2</w:t>
            </w:r>
          </w:p>
        </w:tc>
        <w:tc>
          <w:tcPr>
            <w:tcW w:w="675" w:type="pct"/>
            <w:tcBorders/>
            <w:vAlign w:val="center"/>
          </w:tcPr>
          <w:p>
            <w:pPr>
              <w:pStyle w:val="style0"/>
              <w:spacing w:before="100" w:after="100"/>
              <w:ind w:firstLine="0"/>
              <w:jc w:val="center"/>
              <w:rPr>
                <w:b/>
                <w:bCs/>
                <w:sz w:val="20"/>
                <w:szCs w:val="20"/>
              </w:rPr>
            </w:pPr>
            <w:r>
              <w:rPr>
                <w:b/>
                <w:bCs/>
                <w:sz w:val="20"/>
                <w:szCs w:val="20"/>
              </w:rPr>
              <w:t>0.049*</w:t>
            </w:r>
          </w:p>
        </w:tc>
      </w:tr>
      <w:tr>
        <w:tblPrEx/>
        <w:trPr>
          <w:trHeight w:val="362" w:hRule="atLeast"/>
        </w:trPr>
        <w:tc>
          <w:tcPr>
            <w:tcW w:w="1781" w:type="pct"/>
            <w:tcBorders/>
          </w:tcPr>
          <w:p>
            <w:pPr>
              <w:pStyle w:val="style0"/>
              <w:spacing w:before="100" w:after="100"/>
              <w:ind w:firstLine="0"/>
              <w:rPr>
                <w:b/>
                <w:bCs/>
                <w:sz w:val="20"/>
                <w:szCs w:val="20"/>
              </w:rPr>
            </w:pPr>
            <w:r>
              <w:rPr>
                <w:b/>
                <w:bCs/>
                <w:sz w:val="20"/>
                <w:szCs w:val="20"/>
              </w:rPr>
              <w:t>WBC (x10</w:t>
            </w:r>
            <w:r>
              <w:rPr>
                <w:b/>
                <w:bCs/>
                <w:sz w:val="20"/>
                <w:szCs w:val="20"/>
                <w:vertAlign w:val="superscript"/>
              </w:rPr>
              <w:t>3</w:t>
            </w:r>
            <w:r>
              <w:rPr>
                <w:b/>
                <w:bCs/>
                <w:sz w:val="20"/>
                <w:szCs w:val="20"/>
              </w:rPr>
              <w:t>/µL)</w:t>
            </w:r>
          </w:p>
        </w:tc>
        <w:tc>
          <w:tcPr>
            <w:tcW w:w="1145" w:type="pct"/>
            <w:tcBorders/>
            <w:vAlign w:val="center"/>
          </w:tcPr>
          <w:p>
            <w:pPr>
              <w:pStyle w:val="style0"/>
              <w:spacing w:before="100" w:after="100"/>
              <w:ind w:firstLine="0"/>
              <w:jc w:val="center"/>
              <w:rPr>
                <w:sz w:val="20"/>
                <w:szCs w:val="20"/>
              </w:rPr>
            </w:pPr>
            <w:r>
              <w:rPr>
                <w:sz w:val="20"/>
                <w:szCs w:val="20"/>
              </w:rPr>
              <w:t>0.3 ± 0.1</w:t>
            </w:r>
          </w:p>
        </w:tc>
        <w:tc>
          <w:tcPr>
            <w:tcW w:w="1398" w:type="pct"/>
            <w:tcBorders/>
            <w:vAlign w:val="center"/>
          </w:tcPr>
          <w:p>
            <w:pPr>
              <w:pStyle w:val="style0"/>
              <w:spacing w:before="100" w:after="100"/>
              <w:ind w:firstLine="0"/>
              <w:jc w:val="center"/>
              <w:rPr>
                <w:sz w:val="20"/>
                <w:szCs w:val="20"/>
              </w:rPr>
            </w:pPr>
            <w:r>
              <w:rPr>
                <w:sz w:val="20"/>
                <w:szCs w:val="20"/>
              </w:rPr>
              <w:t>0.5 ± 0.5</w:t>
            </w:r>
          </w:p>
        </w:tc>
        <w:tc>
          <w:tcPr>
            <w:tcW w:w="675" w:type="pct"/>
            <w:tcBorders/>
            <w:vAlign w:val="center"/>
          </w:tcPr>
          <w:p>
            <w:pPr>
              <w:pStyle w:val="style0"/>
              <w:spacing w:before="100" w:after="100"/>
              <w:ind w:firstLine="0"/>
              <w:jc w:val="center"/>
              <w:rPr>
                <w:b/>
                <w:bCs/>
                <w:sz w:val="20"/>
                <w:szCs w:val="20"/>
              </w:rPr>
            </w:pPr>
            <w:r>
              <w:rPr>
                <w:b/>
                <w:bCs/>
                <w:sz w:val="20"/>
                <w:szCs w:val="20"/>
              </w:rPr>
              <w:t>0.037*</w:t>
            </w:r>
          </w:p>
        </w:tc>
      </w:tr>
      <w:tr>
        <w:tblPrEx/>
        <w:trPr>
          <w:trHeight w:val="362" w:hRule="atLeast"/>
        </w:trPr>
        <w:tc>
          <w:tcPr>
            <w:tcW w:w="1781" w:type="pct"/>
            <w:tcBorders/>
          </w:tcPr>
          <w:p>
            <w:pPr>
              <w:pStyle w:val="style0"/>
              <w:spacing w:before="100" w:after="100"/>
              <w:ind w:firstLine="0"/>
              <w:rPr>
                <w:b/>
                <w:bCs/>
                <w:sz w:val="20"/>
                <w:szCs w:val="20"/>
              </w:rPr>
            </w:pPr>
            <w:r>
              <w:rPr>
                <w:b/>
                <w:bCs/>
                <w:sz w:val="20"/>
                <w:szCs w:val="20"/>
              </w:rPr>
              <w:t>HBA1C (%)</w:t>
            </w:r>
          </w:p>
        </w:tc>
        <w:tc>
          <w:tcPr>
            <w:tcW w:w="1145" w:type="pct"/>
            <w:tcBorders/>
            <w:vAlign w:val="center"/>
          </w:tcPr>
          <w:p>
            <w:pPr>
              <w:pStyle w:val="style0"/>
              <w:spacing w:before="100" w:after="100"/>
              <w:ind w:firstLine="0"/>
              <w:jc w:val="center"/>
              <w:rPr>
                <w:sz w:val="20"/>
                <w:szCs w:val="20"/>
              </w:rPr>
            </w:pPr>
            <w:r>
              <w:rPr>
                <w:sz w:val="20"/>
                <w:szCs w:val="20"/>
              </w:rPr>
              <w:t>-1.1 ± 0.4</w:t>
            </w:r>
          </w:p>
        </w:tc>
        <w:tc>
          <w:tcPr>
            <w:tcW w:w="1398" w:type="pct"/>
            <w:tcBorders/>
            <w:vAlign w:val="center"/>
          </w:tcPr>
          <w:p>
            <w:pPr>
              <w:pStyle w:val="style0"/>
              <w:spacing w:before="100" w:after="100"/>
              <w:ind w:firstLine="0"/>
              <w:jc w:val="center"/>
              <w:rPr>
                <w:sz w:val="20"/>
                <w:szCs w:val="20"/>
              </w:rPr>
            </w:pPr>
            <w:r>
              <w:rPr>
                <w:sz w:val="20"/>
                <w:szCs w:val="20"/>
              </w:rPr>
              <w:t>-0.9 ± 0.0</w:t>
            </w:r>
          </w:p>
        </w:tc>
        <w:tc>
          <w:tcPr>
            <w:tcW w:w="675" w:type="pct"/>
            <w:tcBorders/>
            <w:vAlign w:val="center"/>
          </w:tcPr>
          <w:p>
            <w:pPr>
              <w:pStyle w:val="style0"/>
              <w:spacing w:before="100" w:after="100"/>
              <w:ind w:firstLine="0"/>
              <w:jc w:val="center"/>
              <w:rPr>
                <w:b/>
                <w:bCs/>
                <w:sz w:val="20"/>
                <w:szCs w:val="20"/>
              </w:rPr>
            </w:pPr>
            <w:r>
              <w:rPr>
                <w:b/>
                <w:bCs/>
                <w:sz w:val="20"/>
                <w:szCs w:val="20"/>
              </w:rPr>
              <w:t>&lt; 0.001*</w:t>
            </w:r>
          </w:p>
        </w:tc>
      </w:tr>
      <w:tr>
        <w:tblPrEx/>
        <w:trPr>
          <w:trHeight w:val="373" w:hRule="atLeast"/>
        </w:trPr>
        <w:tc>
          <w:tcPr>
            <w:tcW w:w="1781" w:type="pct"/>
            <w:tcBorders/>
          </w:tcPr>
          <w:p>
            <w:pPr>
              <w:pStyle w:val="style0"/>
              <w:spacing w:before="100" w:after="100"/>
              <w:ind w:firstLine="0"/>
              <w:rPr>
                <w:b/>
                <w:bCs/>
                <w:sz w:val="20"/>
                <w:szCs w:val="20"/>
              </w:rPr>
            </w:pPr>
            <w:r>
              <w:rPr>
                <w:b/>
                <w:bCs/>
                <w:sz w:val="20"/>
                <w:szCs w:val="20"/>
              </w:rPr>
              <w:t>Creatinine (mg/</w:t>
            </w:r>
            <w:r>
              <w:rPr>
                <w:b/>
                <w:bCs/>
                <w:sz w:val="20"/>
                <w:szCs w:val="20"/>
              </w:rPr>
              <w:t>dL</w:t>
            </w:r>
            <w:r>
              <w:rPr>
                <w:b/>
                <w:bCs/>
                <w:sz w:val="20"/>
                <w:szCs w:val="20"/>
              </w:rPr>
              <w:t>)</w:t>
            </w:r>
          </w:p>
        </w:tc>
        <w:tc>
          <w:tcPr>
            <w:tcW w:w="1145" w:type="pct"/>
            <w:tcBorders/>
            <w:vAlign w:val="center"/>
          </w:tcPr>
          <w:p>
            <w:pPr>
              <w:pStyle w:val="style0"/>
              <w:spacing w:before="100" w:after="100"/>
              <w:ind w:firstLine="0"/>
              <w:jc w:val="center"/>
              <w:rPr>
                <w:sz w:val="20"/>
                <w:szCs w:val="20"/>
              </w:rPr>
            </w:pPr>
            <w:r>
              <w:rPr>
                <w:sz w:val="20"/>
                <w:szCs w:val="20"/>
              </w:rPr>
              <w:t>0.19± 0.1</w:t>
            </w:r>
          </w:p>
        </w:tc>
        <w:tc>
          <w:tcPr>
            <w:tcW w:w="1398" w:type="pct"/>
            <w:tcBorders/>
            <w:vAlign w:val="center"/>
          </w:tcPr>
          <w:p>
            <w:pPr>
              <w:pStyle w:val="style0"/>
              <w:spacing w:before="100" w:after="100"/>
              <w:ind w:firstLine="0"/>
              <w:jc w:val="center"/>
              <w:rPr>
                <w:sz w:val="20"/>
                <w:szCs w:val="20"/>
              </w:rPr>
            </w:pPr>
            <w:r>
              <w:rPr>
                <w:sz w:val="20"/>
                <w:szCs w:val="20"/>
              </w:rPr>
              <w:t>0.15 ± 0.11</w:t>
            </w:r>
          </w:p>
        </w:tc>
        <w:tc>
          <w:tcPr>
            <w:tcW w:w="675" w:type="pct"/>
            <w:tcBorders/>
            <w:vAlign w:val="center"/>
          </w:tcPr>
          <w:p>
            <w:pPr>
              <w:pStyle w:val="style0"/>
              <w:spacing w:before="100" w:after="100"/>
              <w:ind w:firstLine="0"/>
              <w:jc w:val="center"/>
              <w:rPr>
                <w:sz w:val="20"/>
                <w:szCs w:val="20"/>
              </w:rPr>
            </w:pPr>
            <w:r>
              <w:rPr>
                <w:sz w:val="20"/>
                <w:szCs w:val="20"/>
              </w:rPr>
              <w:t>0.089</w:t>
            </w:r>
          </w:p>
        </w:tc>
      </w:tr>
      <w:tr>
        <w:tblPrEx/>
        <w:trPr>
          <w:trHeight w:val="362" w:hRule="atLeast"/>
        </w:trPr>
        <w:tc>
          <w:tcPr>
            <w:tcW w:w="1781" w:type="pct"/>
            <w:tcBorders/>
          </w:tcPr>
          <w:p>
            <w:pPr>
              <w:pStyle w:val="style0"/>
              <w:spacing w:before="100" w:after="100"/>
              <w:ind w:firstLine="0"/>
              <w:rPr>
                <w:b/>
                <w:bCs/>
                <w:sz w:val="20"/>
                <w:szCs w:val="20"/>
              </w:rPr>
            </w:pPr>
            <w:r>
              <w:rPr>
                <w:b/>
                <w:bCs/>
                <w:sz w:val="20"/>
                <w:szCs w:val="20"/>
              </w:rPr>
              <w:t>Urea (mg/</w:t>
            </w:r>
            <w:r>
              <w:rPr>
                <w:b/>
                <w:bCs/>
                <w:sz w:val="20"/>
                <w:szCs w:val="20"/>
              </w:rPr>
              <w:t>dL</w:t>
            </w:r>
            <w:r>
              <w:rPr>
                <w:b/>
                <w:bCs/>
                <w:sz w:val="20"/>
                <w:szCs w:val="20"/>
              </w:rPr>
              <w:t>)</w:t>
            </w:r>
          </w:p>
        </w:tc>
        <w:tc>
          <w:tcPr>
            <w:tcW w:w="1145" w:type="pct"/>
            <w:tcBorders/>
            <w:vAlign w:val="center"/>
          </w:tcPr>
          <w:p>
            <w:pPr>
              <w:pStyle w:val="style0"/>
              <w:spacing w:before="100" w:after="100"/>
              <w:ind w:firstLine="0"/>
              <w:jc w:val="center"/>
              <w:rPr>
                <w:sz w:val="20"/>
                <w:szCs w:val="20"/>
              </w:rPr>
            </w:pPr>
            <w:r>
              <w:rPr>
                <w:sz w:val="20"/>
                <w:szCs w:val="20"/>
              </w:rPr>
              <w:t>2.6 ± 13.8</w:t>
            </w:r>
          </w:p>
        </w:tc>
        <w:tc>
          <w:tcPr>
            <w:tcW w:w="1398" w:type="pct"/>
            <w:tcBorders/>
            <w:vAlign w:val="center"/>
          </w:tcPr>
          <w:p>
            <w:pPr>
              <w:pStyle w:val="style0"/>
              <w:spacing w:before="100" w:after="100"/>
              <w:ind w:firstLine="0"/>
              <w:jc w:val="center"/>
              <w:rPr>
                <w:sz w:val="20"/>
                <w:szCs w:val="20"/>
              </w:rPr>
            </w:pPr>
            <w:r>
              <w:rPr>
                <w:sz w:val="20"/>
                <w:szCs w:val="20"/>
              </w:rPr>
              <w:t>5.4 ± 2.5</w:t>
            </w:r>
          </w:p>
        </w:tc>
        <w:tc>
          <w:tcPr>
            <w:tcW w:w="675" w:type="pct"/>
            <w:tcBorders/>
            <w:vAlign w:val="center"/>
          </w:tcPr>
          <w:p>
            <w:pPr>
              <w:pStyle w:val="style0"/>
              <w:spacing w:before="100" w:after="100"/>
              <w:ind w:firstLine="0"/>
              <w:jc w:val="center"/>
              <w:rPr>
                <w:sz w:val="20"/>
                <w:szCs w:val="20"/>
              </w:rPr>
            </w:pPr>
            <w:r>
              <w:rPr>
                <w:sz w:val="20"/>
                <w:szCs w:val="20"/>
              </w:rPr>
              <w:t>0.082</w:t>
            </w:r>
          </w:p>
        </w:tc>
      </w:tr>
      <w:tr>
        <w:tblPrEx/>
        <w:trPr>
          <w:trHeight w:val="373" w:hRule="atLeast"/>
        </w:trPr>
        <w:tc>
          <w:tcPr>
            <w:tcW w:w="1781" w:type="pct"/>
            <w:tcBorders/>
          </w:tcPr>
          <w:p>
            <w:pPr>
              <w:pStyle w:val="style0"/>
              <w:spacing w:before="100" w:after="100"/>
              <w:ind w:firstLine="0"/>
              <w:rPr>
                <w:b/>
                <w:bCs/>
                <w:sz w:val="20"/>
                <w:szCs w:val="20"/>
              </w:rPr>
            </w:pPr>
            <w:r>
              <w:rPr>
                <w:b/>
                <w:bCs/>
                <w:sz w:val="20"/>
                <w:szCs w:val="20"/>
              </w:rPr>
              <w:t>Uric Acid (mg/</w:t>
            </w:r>
            <w:r>
              <w:rPr>
                <w:b/>
                <w:bCs/>
                <w:sz w:val="20"/>
                <w:szCs w:val="20"/>
              </w:rPr>
              <w:t>dL</w:t>
            </w:r>
            <w:r>
              <w:rPr>
                <w:b/>
                <w:bCs/>
                <w:sz w:val="20"/>
                <w:szCs w:val="20"/>
              </w:rPr>
              <w:t>)</w:t>
            </w:r>
          </w:p>
        </w:tc>
        <w:tc>
          <w:tcPr>
            <w:tcW w:w="1145" w:type="pct"/>
            <w:tcBorders/>
            <w:vAlign w:val="center"/>
          </w:tcPr>
          <w:p>
            <w:pPr>
              <w:pStyle w:val="style0"/>
              <w:spacing w:before="100" w:after="100"/>
              <w:ind w:firstLine="0"/>
              <w:jc w:val="center"/>
              <w:rPr>
                <w:sz w:val="20"/>
                <w:szCs w:val="20"/>
              </w:rPr>
            </w:pPr>
            <w:r>
              <w:rPr>
                <w:sz w:val="20"/>
                <w:szCs w:val="20"/>
              </w:rPr>
              <w:t>1.3 ± 6.6</w:t>
            </w:r>
          </w:p>
        </w:tc>
        <w:tc>
          <w:tcPr>
            <w:tcW w:w="1398" w:type="pct"/>
            <w:tcBorders/>
            <w:vAlign w:val="center"/>
          </w:tcPr>
          <w:p>
            <w:pPr>
              <w:pStyle w:val="style0"/>
              <w:spacing w:before="100" w:after="100"/>
              <w:ind w:firstLine="0"/>
              <w:jc w:val="center"/>
              <w:rPr>
                <w:sz w:val="20"/>
                <w:szCs w:val="20"/>
              </w:rPr>
            </w:pPr>
            <w:r>
              <w:rPr>
                <w:sz w:val="20"/>
                <w:szCs w:val="20"/>
              </w:rPr>
              <w:t>0.3 ± 37.5</w:t>
            </w:r>
          </w:p>
        </w:tc>
        <w:tc>
          <w:tcPr>
            <w:tcW w:w="675" w:type="pct"/>
            <w:tcBorders/>
            <w:vAlign w:val="center"/>
          </w:tcPr>
          <w:p>
            <w:pPr>
              <w:pStyle w:val="style0"/>
              <w:spacing w:before="100" w:after="100"/>
              <w:ind w:firstLine="0"/>
              <w:jc w:val="center"/>
              <w:rPr>
                <w:sz w:val="20"/>
                <w:szCs w:val="20"/>
              </w:rPr>
            </w:pPr>
            <w:r>
              <w:rPr>
                <w:sz w:val="20"/>
                <w:szCs w:val="20"/>
              </w:rPr>
              <w:t>0.885</w:t>
            </w:r>
          </w:p>
        </w:tc>
      </w:tr>
      <w:tr>
        <w:tblPrEx/>
        <w:trPr>
          <w:trHeight w:val="362" w:hRule="atLeast"/>
        </w:trPr>
        <w:tc>
          <w:tcPr>
            <w:tcW w:w="1781" w:type="pct"/>
            <w:tcBorders/>
          </w:tcPr>
          <w:p>
            <w:pPr>
              <w:pStyle w:val="style0"/>
              <w:spacing w:before="100" w:after="100"/>
              <w:ind w:firstLine="0"/>
              <w:rPr>
                <w:b/>
                <w:bCs/>
                <w:sz w:val="20"/>
                <w:szCs w:val="20"/>
              </w:rPr>
            </w:pPr>
            <w:r>
              <w:rPr>
                <w:b/>
                <w:bCs/>
                <w:sz w:val="20"/>
                <w:szCs w:val="20"/>
              </w:rPr>
              <w:t>ACR (mg/g)</w:t>
            </w:r>
          </w:p>
        </w:tc>
        <w:tc>
          <w:tcPr>
            <w:tcW w:w="1145" w:type="pct"/>
            <w:tcBorders/>
            <w:vAlign w:val="center"/>
          </w:tcPr>
          <w:p>
            <w:pPr>
              <w:pStyle w:val="style0"/>
              <w:spacing w:before="100" w:after="100"/>
              <w:ind w:firstLine="0"/>
              <w:jc w:val="center"/>
              <w:rPr>
                <w:sz w:val="20"/>
                <w:szCs w:val="20"/>
              </w:rPr>
            </w:pPr>
            <w:r>
              <w:rPr>
                <w:sz w:val="20"/>
                <w:szCs w:val="20"/>
              </w:rPr>
              <w:t>-0.03 ± 66</w:t>
            </w:r>
          </w:p>
        </w:tc>
        <w:tc>
          <w:tcPr>
            <w:tcW w:w="1398" w:type="pct"/>
            <w:tcBorders/>
            <w:vAlign w:val="center"/>
          </w:tcPr>
          <w:p>
            <w:pPr>
              <w:pStyle w:val="style0"/>
              <w:spacing w:before="100" w:after="100"/>
              <w:ind w:firstLine="0"/>
              <w:jc w:val="center"/>
              <w:rPr>
                <w:sz w:val="20"/>
                <w:szCs w:val="20"/>
              </w:rPr>
            </w:pPr>
            <w:r>
              <w:rPr>
                <w:sz w:val="20"/>
                <w:szCs w:val="20"/>
              </w:rPr>
              <w:t>-1.38 ± 37.5</w:t>
            </w:r>
          </w:p>
        </w:tc>
        <w:tc>
          <w:tcPr>
            <w:tcW w:w="675" w:type="pct"/>
            <w:tcBorders/>
            <w:vAlign w:val="center"/>
          </w:tcPr>
          <w:p>
            <w:pPr>
              <w:pStyle w:val="style0"/>
              <w:spacing w:before="100" w:after="100"/>
              <w:ind w:firstLine="0"/>
              <w:jc w:val="center"/>
              <w:rPr>
                <w:sz w:val="20"/>
                <w:szCs w:val="20"/>
              </w:rPr>
            </w:pPr>
            <w:r>
              <w:rPr>
                <w:sz w:val="20"/>
                <w:szCs w:val="20"/>
              </w:rPr>
              <w:t>0.892</w:t>
            </w:r>
          </w:p>
        </w:tc>
      </w:tr>
      <w:tr>
        <w:tblPrEx/>
        <w:trPr>
          <w:trHeight w:val="362" w:hRule="atLeast"/>
        </w:trPr>
        <w:tc>
          <w:tcPr>
            <w:tcW w:w="1781" w:type="pct"/>
            <w:tcBorders/>
          </w:tcPr>
          <w:p>
            <w:pPr>
              <w:pStyle w:val="style0"/>
              <w:spacing w:before="100" w:after="100"/>
              <w:ind w:firstLine="0"/>
              <w:rPr>
                <w:b/>
                <w:bCs/>
                <w:sz w:val="20"/>
                <w:szCs w:val="20"/>
              </w:rPr>
            </w:pPr>
            <w:r>
              <w:rPr>
                <w:b/>
                <w:bCs/>
                <w:sz w:val="20"/>
                <w:szCs w:val="20"/>
              </w:rPr>
              <w:t>EGFR (mL/min/1.73m²)</w:t>
            </w:r>
          </w:p>
        </w:tc>
        <w:tc>
          <w:tcPr>
            <w:tcW w:w="1145" w:type="pct"/>
            <w:tcBorders/>
            <w:vAlign w:val="center"/>
          </w:tcPr>
          <w:p>
            <w:pPr>
              <w:pStyle w:val="style0"/>
              <w:spacing w:before="100" w:after="100"/>
              <w:ind w:firstLine="0"/>
              <w:jc w:val="center"/>
              <w:rPr>
                <w:sz w:val="20"/>
                <w:szCs w:val="20"/>
              </w:rPr>
            </w:pPr>
            <w:r>
              <w:rPr>
                <w:sz w:val="20"/>
                <w:szCs w:val="20"/>
              </w:rPr>
              <w:t>3.7± 10.1</w:t>
            </w:r>
          </w:p>
        </w:tc>
        <w:tc>
          <w:tcPr>
            <w:tcW w:w="1398" w:type="pct"/>
            <w:tcBorders/>
            <w:vAlign w:val="center"/>
          </w:tcPr>
          <w:p>
            <w:pPr>
              <w:pStyle w:val="style0"/>
              <w:spacing w:before="100" w:after="100"/>
              <w:ind w:firstLine="0"/>
              <w:jc w:val="center"/>
              <w:rPr>
                <w:sz w:val="20"/>
                <w:szCs w:val="20"/>
              </w:rPr>
            </w:pPr>
            <w:r>
              <w:rPr>
                <w:sz w:val="20"/>
                <w:szCs w:val="20"/>
              </w:rPr>
              <w:t>-4.4 ± 23.63</w:t>
            </w:r>
          </w:p>
        </w:tc>
        <w:tc>
          <w:tcPr>
            <w:tcW w:w="675" w:type="pct"/>
            <w:tcBorders/>
            <w:vAlign w:val="center"/>
          </w:tcPr>
          <w:p>
            <w:pPr>
              <w:pStyle w:val="style0"/>
              <w:spacing w:before="100" w:after="100"/>
              <w:ind w:firstLine="0"/>
              <w:jc w:val="center"/>
              <w:rPr>
                <w:sz w:val="20"/>
                <w:szCs w:val="20"/>
              </w:rPr>
            </w:pPr>
            <w:r>
              <w:rPr>
                <w:sz w:val="20"/>
                <w:szCs w:val="20"/>
              </w:rPr>
              <w:t>0.079</w:t>
            </w:r>
          </w:p>
        </w:tc>
      </w:tr>
      <w:tr>
        <w:tblPrEx/>
        <w:trPr>
          <w:trHeight w:val="373" w:hRule="atLeast"/>
        </w:trPr>
        <w:tc>
          <w:tcPr>
            <w:tcW w:w="1781" w:type="pct"/>
            <w:tcBorders/>
          </w:tcPr>
          <w:p>
            <w:pPr>
              <w:pStyle w:val="style0"/>
              <w:spacing w:before="100" w:after="100"/>
              <w:ind w:firstLine="0"/>
              <w:rPr>
                <w:b/>
                <w:bCs/>
                <w:sz w:val="20"/>
                <w:szCs w:val="20"/>
              </w:rPr>
            </w:pPr>
            <w:r>
              <w:rPr>
                <w:b/>
                <w:bCs/>
                <w:sz w:val="20"/>
                <w:szCs w:val="20"/>
              </w:rPr>
              <w:t>Total Cholesterol (mg/</w:t>
            </w:r>
            <w:r>
              <w:rPr>
                <w:b/>
                <w:bCs/>
                <w:sz w:val="20"/>
                <w:szCs w:val="20"/>
              </w:rPr>
              <w:t>dL</w:t>
            </w:r>
            <w:r>
              <w:rPr>
                <w:b/>
                <w:bCs/>
                <w:sz w:val="20"/>
                <w:szCs w:val="20"/>
              </w:rPr>
              <w:t>)</w:t>
            </w:r>
          </w:p>
        </w:tc>
        <w:tc>
          <w:tcPr>
            <w:tcW w:w="1145" w:type="pct"/>
            <w:tcBorders/>
            <w:vAlign w:val="center"/>
          </w:tcPr>
          <w:p>
            <w:pPr>
              <w:pStyle w:val="style0"/>
              <w:spacing w:before="100" w:after="100"/>
              <w:ind w:firstLine="0"/>
              <w:jc w:val="center"/>
              <w:rPr>
                <w:sz w:val="20"/>
                <w:szCs w:val="20"/>
              </w:rPr>
            </w:pPr>
            <w:r>
              <w:rPr>
                <w:sz w:val="20"/>
                <w:szCs w:val="20"/>
              </w:rPr>
              <w:t>-29.28± 6.58</w:t>
            </w:r>
          </w:p>
        </w:tc>
        <w:tc>
          <w:tcPr>
            <w:tcW w:w="1398" w:type="pct"/>
            <w:tcBorders/>
            <w:vAlign w:val="center"/>
          </w:tcPr>
          <w:p>
            <w:pPr>
              <w:pStyle w:val="style0"/>
              <w:spacing w:before="100" w:after="100"/>
              <w:ind w:firstLine="0"/>
              <w:jc w:val="center"/>
              <w:rPr>
                <w:sz w:val="20"/>
                <w:szCs w:val="20"/>
              </w:rPr>
            </w:pPr>
            <w:r>
              <w:rPr>
                <w:sz w:val="20"/>
                <w:szCs w:val="20"/>
              </w:rPr>
              <w:t>-35.20 ± 12.0</w:t>
            </w:r>
          </w:p>
        </w:tc>
        <w:tc>
          <w:tcPr>
            <w:tcW w:w="675" w:type="pct"/>
            <w:tcBorders/>
            <w:vAlign w:val="center"/>
          </w:tcPr>
          <w:p>
            <w:pPr>
              <w:pStyle w:val="style0"/>
              <w:spacing w:before="100" w:after="100"/>
              <w:ind w:firstLine="0"/>
              <w:jc w:val="center"/>
              <w:rPr>
                <w:b/>
                <w:bCs/>
                <w:sz w:val="20"/>
                <w:szCs w:val="20"/>
              </w:rPr>
            </w:pPr>
            <w:r>
              <w:rPr>
                <w:b/>
                <w:bCs/>
                <w:sz w:val="20"/>
                <w:szCs w:val="20"/>
              </w:rPr>
              <w:t>0.015*</w:t>
            </w:r>
          </w:p>
        </w:tc>
      </w:tr>
      <w:tr>
        <w:tblPrEx/>
        <w:trPr>
          <w:trHeight w:val="362" w:hRule="atLeast"/>
        </w:trPr>
        <w:tc>
          <w:tcPr>
            <w:tcW w:w="1781" w:type="pct"/>
            <w:tcBorders/>
          </w:tcPr>
          <w:p>
            <w:pPr>
              <w:pStyle w:val="style0"/>
              <w:spacing w:before="100" w:after="100"/>
              <w:ind w:firstLine="0"/>
              <w:rPr>
                <w:b/>
                <w:bCs/>
                <w:sz w:val="20"/>
                <w:szCs w:val="20"/>
              </w:rPr>
            </w:pPr>
            <w:r>
              <w:rPr>
                <w:b/>
                <w:bCs/>
                <w:sz w:val="20"/>
                <w:szCs w:val="20"/>
              </w:rPr>
              <w:t>LDL (mg/</w:t>
            </w:r>
            <w:r>
              <w:rPr>
                <w:b/>
                <w:bCs/>
                <w:sz w:val="20"/>
                <w:szCs w:val="20"/>
              </w:rPr>
              <w:t>dL</w:t>
            </w:r>
            <w:r>
              <w:rPr>
                <w:b/>
                <w:bCs/>
                <w:sz w:val="20"/>
                <w:szCs w:val="20"/>
              </w:rPr>
              <w:t>)</w:t>
            </w:r>
          </w:p>
        </w:tc>
        <w:tc>
          <w:tcPr>
            <w:tcW w:w="1145" w:type="pct"/>
            <w:tcBorders/>
            <w:vAlign w:val="center"/>
          </w:tcPr>
          <w:p>
            <w:pPr>
              <w:pStyle w:val="style0"/>
              <w:spacing w:before="100" w:after="100"/>
              <w:ind w:firstLine="0"/>
              <w:jc w:val="center"/>
              <w:rPr>
                <w:sz w:val="20"/>
                <w:szCs w:val="20"/>
              </w:rPr>
            </w:pPr>
            <w:r>
              <w:rPr>
                <w:sz w:val="20"/>
                <w:szCs w:val="20"/>
              </w:rPr>
              <w:t>-22.8 ± 7.4</w:t>
            </w:r>
          </w:p>
        </w:tc>
        <w:tc>
          <w:tcPr>
            <w:tcW w:w="1398" w:type="pct"/>
            <w:tcBorders/>
            <w:vAlign w:val="center"/>
          </w:tcPr>
          <w:p>
            <w:pPr>
              <w:pStyle w:val="style0"/>
              <w:spacing w:before="100" w:after="100"/>
              <w:ind w:firstLine="0"/>
              <w:jc w:val="center"/>
              <w:rPr>
                <w:sz w:val="20"/>
                <w:szCs w:val="20"/>
              </w:rPr>
            </w:pPr>
            <w:r>
              <w:rPr>
                <w:sz w:val="20"/>
                <w:szCs w:val="20"/>
              </w:rPr>
              <w:t>-13.9 ± 4.3</w:t>
            </w:r>
          </w:p>
        </w:tc>
        <w:tc>
          <w:tcPr>
            <w:tcW w:w="675" w:type="pct"/>
            <w:tcBorders/>
            <w:vAlign w:val="center"/>
          </w:tcPr>
          <w:p>
            <w:pPr>
              <w:pStyle w:val="style0"/>
              <w:spacing w:before="100" w:after="100"/>
              <w:ind w:firstLine="0"/>
              <w:jc w:val="center"/>
              <w:rPr>
                <w:sz w:val="20"/>
                <w:szCs w:val="20"/>
              </w:rPr>
            </w:pPr>
            <w:r>
              <w:rPr>
                <w:b/>
                <w:bCs/>
                <w:sz w:val="20"/>
                <w:szCs w:val="20"/>
              </w:rPr>
              <w:t>&lt; 0.001*</w:t>
            </w:r>
          </w:p>
        </w:tc>
      </w:tr>
      <w:tr>
        <w:tblPrEx/>
        <w:trPr>
          <w:trHeight w:val="373" w:hRule="atLeast"/>
        </w:trPr>
        <w:tc>
          <w:tcPr>
            <w:tcW w:w="1781" w:type="pct"/>
            <w:tcBorders/>
          </w:tcPr>
          <w:p>
            <w:pPr>
              <w:pStyle w:val="style0"/>
              <w:spacing w:before="100" w:after="100"/>
              <w:ind w:firstLine="0"/>
              <w:rPr>
                <w:b/>
                <w:bCs/>
                <w:sz w:val="20"/>
                <w:szCs w:val="20"/>
              </w:rPr>
            </w:pPr>
            <w:r>
              <w:rPr>
                <w:b/>
                <w:bCs/>
                <w:sz w:val="20"/>
                <w:szCs w:val="20"/>
              </w:rPr>
              <w:t>HDL (mg/</w:t>
            </w:r>
            <w:r>
              <w:rPr>
                <w:b/>
                <w:bCs/>
                <w:sz w:val="20"/>
                <w:szCs w:val="20"/>
              </w:rPr>
              <w:t>dL</w:t>
            </w:r>
            <w:r>
              <w:rPr>
                <w:b/>
                <w:bCs/>
                <w:sz w:val="20"/>
                <w:szCs w:val="20"/>
              </w:rPr>
              <w:t>)</w:t>
            </w:r>
          </w:p>
        </w:tc>
        <w:tc>
          <w:tcPr>
            <w:tcW w:w="1145" w:type="pct"/>
            <w:tcBorders/>
            <w:vAlign w:val="center"/>
          </w:tcPr>
          <w:p>
            <w:pPr>
              <w:pStyle w:val="style0"/>
              <w:spacing w:before="100" w:after="100"/>
              <w:ind w:firstLine="0"/>
              <w:jc w:val="center"/>
              <w:rPr>
                <w:sz w:val="20"/>
                <w:szCs w:val="20"/>
              </w:rPr>
            </w:pPr>
            <w:r>
              <w:rPr>
                <w:sz w:val="20"/>
                <w:szCs w:val="20"/>
              </w:rPr>
              <w:t>2.4 ± 0.8</w:t>
            </w:r>
          </w:p>
        </w:tc>
        <w:tc>
          <w:tcPr>
            <w:tcW w:w="1398" w:type="pct"/>
            <w:tcBorders/>
            <w:vAlign w:val="center"/>
          </w:tcPr>
          <w:p>
            <w:pPr>
              <w:pStyle w:val="style0"/>
              <w:spacing w:before="100" w:after="100"/>
              <w:ind w:firstLine="0"/>
              <w:jc w:val="center"/>
              <w:rPr>
                <w:sz w:val="20"/>
                <w:szCs w:val="20"/>
              </w:rPr>
            </w:pPr>
            <w:r>
              <w:rPr>
                <w:sz w:val="20"/>
                <w:szCs w:val="20"/>
              </w:rPr>
              <w:t>1.4 ± 1.0</w:t>
            </w:r>
          </w:p>
        </w:tc>
        <w:tc>
          <w:tcPr>
            <w:tcW w:w="675" w:type="pct"/>
            <w:tcBorders/>
            <w:vAlign w:val="center"/>
          </w:tcPr>
          <w:p>
            <w:pPr>
              <w:pStyle w:val="style0"/>
              <w:spacing w:before="100" w:after="100"/>
              <w:ind w:firstLine="0"/>
              <w:jc w:val="center"/>
              <w:rPr>
                <w:sz w:val="20"/>
                <w:szCs w:val="20"/>
              </w:rPr>
            </w:pPr>
            <w:r>
              <w:rPr>
                <w:b/>
                <w:bCs/>
                <w:sz w:val="20"/>
                <w:szCs w:val="20"/>
              </w:rPr>
              <w:t>&lt; 0.001*</w:t>
            </w:r>
          </w:p>
        </w:tc>
      </w:tr>
      <w:tr>
        <w:tblPrEx/>
        <w:trPr>
          <w:trHeight w:val="362" w:hRule="atLeast"/>
        </w:trPr>
        <w:tc>
          <w:tcPr>
            <w:tcW w:w="1781" w:type="pct"/>
            <w:tcBorders/>
          </w:tcPr>
          <w:p>
            <w:pPr>
              <w:pStyle w:val="style0"/>
              <w:spacing w:before="100" w:after="100"/>
              <w:ind w:firstLine="0"/>
              <w:rPr>
                <w:b/>
                <w:bCs/>
                <w:sz w:val="20"/>
                <w:szCs w:val="20"/>
              </w:rPr>
            </w:pPr>
            <w:r>
              <w:rPr>
                <w:b/>
                <w:bCs/>
                <w:sz w:val="20"/>
                <w:szCs w:val="20"/>
              </w:rPr>
              <w:t>Triglycerides (mg/</w:t>
            </w:r>
            <w:r>
              <w:rPr>
                <w:b/>
                <w:bCs/>
                <w:sz w:val="20"/>
                <w:szCs w:val="20"/>
              </w:rPr>
              <w:t>dL</w:t>
            </w:r>
            <w:r>
              <w:rPr>
                <w:b/>
                <w:bCs/>
                <w:sz w:val="20"/>
                <w:szCs w:val="20"/>
              </w:rPr>
              <w:t>)</w:t>
            </w:r>
          </w:p>
        </w:tc>
        <w:tc>
          <w:tcPr>
            <w:tcW w:w="1145" w:type="pct"/>
            <w:tcBorders/>
            <w:vAlign w:val="center"/>
          </w:tcPr>
          <w:p>
            <w:pPr>
              <w:pStyle w:val="style0"/>
              <w:spacing w:before="100" w:after="100"/>
              <w:ind w:firstLine="0"/>
              <w:jc w:val="center"/>
              <w:rPr>
                <w:sz w:val="20"/>
                <w:szCs w:val="20"/>
              </w:rPr>
            </w:pPr>
            <w:r>
              <w:rPr>
                <w:sz w:val="20"/>
                <w:szCs w:val="20"/>
              </w:rPr>
              <w:t>-16.5± 8.3</w:t>
            </w:r>
          </w:p>
        </w:tc>
        <w:tc>
          <w:tcPr>
            <w:tcW w:w="1398" w:type="pct"/>
            <w:tcBorders/>
            <w:vAlign w:val="center"/>
          </w:tcPr>
          <w:p>
            <w:pPr>
              <w:pStyle w:val="style0"/>
              <w:spacing w:before="100" w:after="100"/>
              <w:ind w:firstLine="0"/>
              <w:jc w:val="center"/>
              <w:rPr>
                <w:sz w:val="20"/>
                <w:szCs w:val="20"/>
              </w:rPr>
            </w:pPr>
            <w:r>
              <w:rPr>
                <w:sz w:val="20"/>
                <w:szCs w:val="20"/>
              </w:rPr>
              <w:t>-24.1 ± 14.5</w:t>
            </w:r>
          </w:p>
        </w:tc>
        <w:tc>
          <w:tcPr>
            <w:tcW w:w="675" w:type="pct"/>
            <w:tcBorders/>
            <w:vAlign w:val="center"/>
          </w:tcPr>
          <w:p>
            <w:pPr>
              <w:pStyle w:val="style0"/>
              <w:spacing w:before="100" w:after="100"/>
              <w:ind w:firstLine="0"/>
              <w:jc w:val="center"/>
              <w:rPr>
                <w:b/>
                <w:bCs/>
                <w:sz w:val="20"/>
                <w:szCs w:val="20"/>
              </w:rPr>
            </w:pPr>
            <w:r>
              <w:rPr>
                <w:b/>
                <w:bCs/>
                <w:sz w:val="20"/>
                <w:szCs w:val="20"/>
              </w:rPr>
              <w:t>0.010*</w:t>
            </w:r>
          </w:p>
        </w:tc>
      </w:tr>
    </w:tbl>
    <w:p>
      <w:pPr>
        <w:pStyle w:val="style0"/>
        <w:spacing w:before="100" w:after="100" w:lineRule="auto" w:line="240"/>
        <w:ind w:firstLine="0"/>
        <w:rPr>
          <w:sz w:val="20"/>
          <w:szCs w:val="20"/>
        </w:rPr>
      </w:pPr>
      <w:r>
        <w:rPr>
          <w:sz w:val="20"/>
          <w:szCs w:val="20"/>
        </w:rPr>
        <w:t>*p Value is significant</w:t>
      </w:r>
    </w:p>
    <w:p>
      <w:pPr>
        <w:pStyle w:val="style0"/>
        <w:spacing w:lineRule="auto" w:line="240"/>
        <w:ind w:firstLine="0"/>
        <w:rPr>
          <w:sz w:val="20"/>
          <w:szCs w:val="20"/>
        </w:rPr>
      </w:pPr>
    </w:p>
    <w:p>
      <w:pPr>
        <w:pStyle w:val="style0"/>
        <w:spacing w:before="100" w:after="100" w:lineRule="auto" w:line="240"/>
        <w:ind w:firstLine="0"/>
        <w:rPr>
          <w:b/>
          <w:bCs/>
          <w:sz w:val="20"/>
          <w:szCs w:val="20"/>
        </w:rPr>
      </w:pPr>
      <w:r>
        <w:rPr>
          <w:b/>
          <w:bCs/>
          <w:sz w:val="20"/>
          <w:szCs w:val="20"/>
        </w:rPr>
        <w:t>Table 6</w:t>
      </w:r>
      <w:r>
        <w:rPr>
          <w:b/>
          <w:bCs/>
          <w:sz w:val="20"/>
          <w:szCs w:val="20"/>
        </w:rPr>
        <w:t>: Comparison of between groups</w:t>
      </w:r>
      <w:r>
        <w:rPr>
          <w:b/>
          <w:bCs/>
          <w:sz w:val="20"/>
          <w:szCs w:val="20"/>
        </w:rPr>
        <w:t xml:space="preserve"> regarding adverse effect</w:t>
      </w:r>
    </w:p>
    <w:tbl>
      <w:tblPr>
        <w:tblStyle w:val="style154"/>
        <w:tblW w:w="5000" w:type="pct"/>
        <w:tblLook w:val="04A0" w:firstRow="1" w:lastRow="0" w:firstColumn="1" w:lastColumn="0" w:noHBand="0" w:noVBand="1"/>
      </w:tblPr>
      <w:tblGrid>
        <w:gridCol w:w="3075"/>
        <w:gridCol w:w="1977"/>
        <w:gridCol w:w="2413"/>
        <w:gridCol w:w="1165"/>
      </w:tblGrid>
      <w:tr>
        <w:trPr>
          <w:trHeight w:val="876" w:hRule="atLeast"/>
        </w:trPr>
        <w:tc>
          <w:tcPr>
            <w:tcW w:w="1781" w:type="pct"/>
            <w:vMerge w:val="restart"/>
            <w:tcBorders/>
          </w:tcPr>
          <w:p>
            <w:pPr>
              <w:pStyle w:val="style0"/>
              <w:spacing w:before="100" w:after="100"/>
              <w:ind w:firstLine="0"/>
              <w:rPr>
                <w:sz w:val="20"/>
                <w:szCs w:val="20"/>
              </w:rPr>
            </w:pPr>
          </w:p>
        </w:tc>
        <w:tc>
          <w:tcPr>
            <w:tcW w:w="1145" w:type="pct"/>
            <w:tcBorders/>
            <w:vAlign w:val="center"/>
          </w:tcPr>
          <w:p>
            <w:pPr>
              <w:pStyle w:val="style0"/>
              <w:spacing w:before="100" w:after="100"/>
              <w:ind w:firstLine="0"/>
              <w:jc w:val="center"/>
              <w:rPr>
                <w:b/>
                <w:bCs/>
                <w:sz w:val="20"/>
                <w:szCs w:val="20"/>
              </w:rPr>
            </w:pPr>
            <w:r>
              <w:rPr>
                <w:b/>
                <w:bCs/>
                <w:sz w:val="20"/>
                <w:szCs w:val="20"/>
              </w:rPr>
              <w:t>DM Only</w:t>
            </w:r>
          </w:p>
          <w:p>
            <w:pPr>
              <w:pStyle w:val="style0"/>
              <w:spacing w:before="100" w:after="100"/>
              <w:ind w:firstLine="0"/>
              <w:jc w:val="center"/>
              <w:rPr>
                <w:b/>
                <w:bCs/>
                <w:sz w:val="20"/>
                <w:szCs w:val="20"/>
              </w:rPr>
            </w:pPr>
            <w:r>
              <w:rPr>
                <w:b/>
                <w:bCs/>
                <w:sz w:val="20"/>
                <w:szCs w:val="20"/>
              </w:rPr>
              <w:t>(N=86)</w:t>
            </w:r>
          </w:p>
        </w:tc>
        <w:tc>
          <w:tcPr>
            <w:tcW w:w="1398" w:type="pct"/>
            <w:tcBorders/>
            <w:vAlign w:val="center"/>
          </w:tcPr>
          <w:p>
            <w:pPr>
              <w:pStyle w:val="style0"/>
              <w:spacing w:before="100" w:after="100"/>
              <w:ind w:firstLine="0"/>
              <w:jc w:val="center"/>
              <w:rPr>
                <w:b/>
                <w:bCs/>
                <w:sz w:val="20"/>
                <w:szCs w:val="20"/>
              </w:rPr>
            </w:pPr>
            <w:r>
              <w:rPr>
                <w:b/>
                <w:bCs/>
                <w:sz w:val="20"/>
                <w:szCs w:val="20"/>
              </w:rPr>
              <w:t>DM with comorbidity</w:t>
            </w:r>
          </w:p>
          <w:p>
            <w:pPr>
              <w:pStyle w:val="style0"/>
              <w:spacing w:before="100" w:after="100"/>
              <w:ind w:firstLine="0"/>
              <w:jc w:val="center"/>
              <w:rPr>
                <w:b/>
                <w:bCs/>
                <w:sz w:val="20"/>
                <w:szCs w:val="20"/>
              </w:rPr>
            </w:pPr>
            <w:r>
              <w:rPr>
                <w:b/>
                <w:bCs/>
                <w:sz w:val="20"/>
                <w:szCs w:val="20"/>
              </w:rPr>
              <w:t>(N=30)</w:t>
            </w:r>
          </w:p>
        </w:tc>
        <w:tc>
          <w:tcPr>
            <w:tcW w:w="675" w:type="pct"/>
            <w:vMerge w:val="restart"/>
            <w:tcBorders/>
            <w:vAlign w:val="center"/>
          </w:tcPr>
          <w:p>
            <w:pPr>
              <w:pStyle w:val="style0"/>
              <w:spacing w:before="100" w:after="100"/>
              <w:ind w:firstLine="0"/>
              <w:jc w:val="center"/>
              <w:rPr>
                <w:b/>
                <w:bCs/>
                <w:sz w:val="20"/>
                <w:szCs w:val="20"/>
              </w:rPr>
            </w:pPr>
            <w:r>
              <w:rPr>
                <w:b/>
                <w:bCs/>
                <w:sz w:val="20"/>
                <w:szCs w:val="20"/>
              </w:rPr>
              <w:t>p-Value</w:t>
            </w:r>
          </w:p>
        </w:tc>
      </w:tr>
      <w:tr>
        <w:tblPrEx/>
        <w:trPr>
          <w:trHeight w:val="373" w:hRule="atLeast"/>
        </w:trPr>
        <w:tc>
          <w:tcPr>
            <w:tcW w:w="1781" w:type="pct"/>
            <w:vMerge w:val="continue"/>
            <w:tcBorders/>
          </w:tcPr>
          <w:p>
            <w:pPr>
              <w:pStyle w:val="style0"/>
              <w:spacing w:before="100" w:after="100"/>
              <w:ind w:firstLine="0"/>
              <w:rPr>
                <w:sz w:val="20"/>
                <w:szCs w:val="20"/>
              </w:rPr>
            </w:pPr>
          </w:p>
        </w:tc>
        <w:tc>
          <w:tcPr>
            <w:tcW w:w="1145" w:type="pct"/>
            <w:tcBorders/>
            <w:vAlign w:val="center"/>
          </w:tcPr>
          <w:p>
            <w:pPr>
              <w:pStyle w:val="style0"/>
              <w:spacing w:before="100" w:after="100"/>
              <w:ind w:firstLine="0"/>
              <w:jc w:val="center"/>
              <w:rPr>
                <w:b/>
                <w:bCs/>
                <w:sz w:val="20"/>
                <w:szCs w:val="20"/>
              </w:rPr>
            </w:pPr>
            <w:r>
              <w:rPr>
                <w:b/>
                <w:bCs/>
                <w:sz w:val="20"/>
                <w:szCs w:val="20"/>
              </w:rPr>
              <w:t>No (%)</w:t>
            </w:r>
          </w:p>
        </w:tc>
        <w:tc>
          <w:tcPr>
            <w:tcW w:w="1398" w:type="pct"/>
            <w:tcBorders/>
            <w:vAlign w:val="center"/>
          </w:tcPr>
          <w:p>
            <w:pPr>
              <w:pStyle w:val="style0"/>
              <w:spacing w:before="100" w:after="100"/>
              <w:ind w:firstLine="0"/>
              <w:jc w:val="center"/>
              <w:rPr>
                <w:b/>
                <w:bCs/>
                <w:sz w:val="20"/>
                <w:szCs w:val="20"/>
              </w:rPr>
            </w:pPr>
            <w:r>
              <w:rPr>
                <w:b/>
                <w:bCs/>
                <w:sz w:val="20"/>
                <w:szCs w:val="20"/>
              </w:rPr>
              <w:t>No (%)</w:t>
            </w:r>
          </w:p>
        </w:tc>
        <w:tc>
          <w:tcPr>
            <w:tcW w:w="675" w:type="pct"/>
            <w:vMerge w:val="continue"/>
            <w:tcBorders/>
            <w:vAlign w:val="center"/>
          </w:tcPr>
          <w:p>
            <w:pPr>
              <w:pStyle w:val="style0"/>
              <w:spacing w:before="100" w:after="100"/>
              <w:ind w:firstLine="0"/>
              <w:jc w:val="center"/>
              <w:rPr>
                <w:sz w:val="20"/>
                <w:szCs w:val="20"/>
              </w:rPr>
            </w:pPr>
          </w:p>
        </w:tc>
      </w:tr>
      <w:tr>
        <w:tblPrEx/>
        <w:trPr>
          <w:trHeight w:val="373" w:hRule="atLeast"/>
        </w:trPr>
        <w:tc>
          <w:tcPr>
            <w:tcW w:w="1781" w:type="pct"/>
            <w:tcBorders/>
          </w:tcPr>
          <w:p>
            <w:pPr>
              <w:pStyle w:val="style0"/>
              <w:spacing w:before="100" w:after="100"/>
              <w:ind w:firstLine="0"/>
              <w:rPr>
                <w:b/>
                <w:bCs/>
                <w:sz w:val="20"/>
                <w:szCs w:val="20"/>
              </w:rPr>
            </w:pPr>
            <w:r>
              <w:rPr>
                <w:b/>
                <w:bCs/>
                <w:sz w:val="20"/>
                <w:szCs w:val="20"/>
              </w:rPr>
              <w:t>Dehydration</w:t>
            </w:r>
          </w:p>
        </w:tc>
        <w:tc>
          <w:tcPr>
            <w:tcW w:w="1145" w:type="pct"/>
            <w:tcBorders/>
            <w:vAlign w:val="center"/>
          </w:tcPr>
          <w:p>
            <w:pPr>
              <w:pStyle w:val="style0"/>
              <w:spacing w:before="100" w:after="100"/>
              <w:ind w:firstLine="0"/>
              <w:jc w:val="center"/>
              <w:rPr>
                <w:sz w:val="20"/>
                <w:szCs w:val="20"/>
              </w:rPr>
            </w:pPr>
            <w:r>
              <w:rPr>
                <w:sz w:val="20"/>
                <w:szCs w:val="20"/>
              </w:rPr>
              <w:t>30 (34.9%)</w:t>
            </w:r>
          </w:p>
        </w:tc>
        <w:tc>
          <w:tcPr>
            <w:tcW w:w="1398" w:type="pct"/>
            <w:tcBorders/>
            <w:vAlign w:val="center"/>
          </w:tcPr>
          <w:p>
            <w:pPr>
              <w:pStyle w:val="style0"/>
              <w:spacing w:before="100" w:after="100"/>
              <w:ind w:firstLine="0"/>
              <w:jc w:val="center"/>
              <w:rPr>
                <w:sz w:val="20"/>
                <w:szCs w:val="20"/>
              </w:rPr>
            </w:pPr>
            <w:r>
              <w:rPr>
                <w:sz w:val="20"/>
                <w:szCs w:val="20"/>
              </w:rPr>
              <w:t>18 (60%)</w:t>
            </w:r>
          </w:p>
        </w:tc>
        <w:tc>
          <w:tcPr>
            <w:tcW w:w="675" w:type="pct"/>
            <w:tcBorders/>
            <w:vAlign w:val="center"/>
          </w:tcPr>
          <w:p>
            <w:pPr>
              <w:pStyle w:val="style0"/>
              <w:spacing w:before="100" w:after="100"/>
              <w:ind w:firstLine="0"/>
              <w:jc w:val="center"/>
              <w:rPr>
                <w:b/>
                <w:bCs/>
                <w:sz w:val="20"/>
                <w:szCs w:val="20"/>
              </w:rPr>
            </w:pPr>
            <w:r>
              <w:rPr>
                <w:b/>
                <w:bCs/>
                <w:sz w:val="20"/>
                <w:szCs w:val="20"/>
              </w:rPr>
              <w:t>0.018</w:t>
            </w:r>
            <w:r>
              <w:rPr>
                <w:b/>
                <w:bCs/>
                <w:sz w:val="20"/>
                <w:szCs w:val="20"/>
              </w:rPr>
              <w:t>*</w:t>
            </w:r>
          </w:p>
        </w:tc>
      </w:tr>
      <w:tr>
        <w:tblPrEx/>
        <w:trPr>
          <w:trHeight w:val="362" w:hRule="atLeast"/>
        </w:trPr>
        <w:tc>
          <w:tcPr>
            <w:tcW w:w="1781" w:type="pct"/>
            <w:tcBorders/>
          </w:tcPr>
          <w:p>
            <w:pPr>
              <w:pStyle w:val="style0"/>
              <w:spacing w:before="100" w:after="100"/>
              <w:ind w:firstLine="0"/>
              <w:rPr>
                <w:b/>
                <w:bCs/>
                <w:sz w:val="20"/>
                <w:szCs w:val="20"/>
              </w:rPr>
            </w:pPr>
            <w:r>
              <w:rPr>
                <w:b/>
                <w:bCs/>
                <w:sz w:val="20"/>
                <w:szCs w:val="20"/>
              </w:rPr>
              <w:t>Diabetic ketoacidosis</w:t>
            </w:r>
          </w:p>
        </w:tc>
        <w:tc>
          <w:tcPr>
            <w:tcW w:w="1145" w:type="pct"/>
            <w:tcBorders/>
            <w:vAlign w:val="center"/>
          </w:tcPr>
          <w:p>
            <w:pPr>
              <w:pStyle w:val="style0"/>
              <w:spacing w:before="100" w:after="100"/>
              <w:ind w:firstLine="0"/>
              <w:jc w:val="center"/>
              <w:rPr>
                <w:sz w:val="20"/>
                <w:szCs w:val="20"/>
              </w:rPr>
            </w:pPr>
            <w:r>
              <w:rPr>
                <w:sz w:val="20"/>
                <w:szCs w:val="20"/>
              </w:rPr>
              <w:t>0 (0%)</w:t>
            </w:r>
          </w:p>
        </w:tc>
        <w:tc>
          <w:tcPr>
            <w:tcW w:w="1398" w:type="pct"/>
            <w:tcBorders/>
            <w:vAlign w:val="center"/>
          </w:tcPr>
          <w:p>
            <w:pPr>
              <w:pStyle w:val="style0"/>
              <w:spacing w:before="100" w:after="100"/>
              <w:ind w:firstLine="0"/>
              <w:jc w:val="center"/>
              <w:rPr>
                <w:sz w:val="20"/>
                <w:szCs w:val="20"/>
              </w:rPr>
            </w:pPr>
            <w:r>
              <w:rPr>
                <w:sz w:val="20"/>
                <w:szCs w:val="20"/>
              </w:rPr>
              <w:t>2 (6.7%)</w:t>
            </w:r>
          </w:p>
        </w:tc>
        <w:tc>
          <w:tcPr>
            <w:tcW w:w="675" w:type="pct"/>
            <w:tcBorders/>
            <w:vAlign w:val="center"/>
          </w:tcPr>
          <w:p>
            <w:pPr>
              <w:pStyle w:val="style0"/>
              <w:spacing w:before="100" w:after="100"/>
              <w:ind w:firstLine="0"/>
              <w:jc w:val="center"/>
              <w:rPr>
                <w:b/>
                <w:bCs/>
                <w:sz w:val="20"/>
                <w:szCs w:val="20"/>
              </w:rPr>
            </w:pPr>
            <w:r>
              <w:rPr>
                <w:b/>
                <w:bCs/>
                <w:sz w:val="20"/>
                <w:szCs w:val="20"/>
              </w:rPr>
              <w:t>0.016</w:t>
            </w:r>
            <w:r>
              <w:rPr>
                <w:b/>
                <w:bCs/>
                <w:sz w:val="20"/>
                <w:szCs w:val="20"/>
              </w:rPr>
              <w:t>*</w:t>
            </w:r>
          </w:p>
        </w:tc>
      </w:tr>
      <w:tr>
        <w:tblPrEx/>
        <w:trPr>
          <w:trHeight w:val="362" w:hRule="atLeast"/>
        </w:trPr>
        <w:tc>
          <w:tcPr>
            <w:tcW w:w="1781" w:type="pct"/>
            <w:tcBorders/>
          </w:tcPr>
          <w:p>
            <w:pPr>
              <w:pStyle w:val="style0"/>
              <w:spacing w:before="100" w:after="100"/>
              <w:ind w:firstLine="0"/>
              <w:rPr>
                <w:b/>
                <w:bCs/>
                <w:sz w:val="20"/>
                <w:szCs w:val="20"/>
              </w:rPr>
            </w:pPr>
            <w:r>
              <w:rPr>
                <w:b/>
                <w:bCs/>
                <w:sz w:val="20"/>
                <w:szCs w:val="20"/>
              </w:rPr>
              <w:t>Skin rash</w:t>
            </w:r>
          </w:p>
        </w:tc>
        <w:tc>
          <w:tcPr>
            <w:tcW w:w="1145" w:type="pct"/>
            <w:tcBorders/>
            <w:vAlign w:val="center"/>
          </w:tcPr>
          <w:p>
            <w:pPr>
              <w:pStyle w:val="style0"/>
              <w:spacing w:before="100" w:after="100"/>
              <w:ind w:firstLine="0"/>
              <w:jc w:val="center"/>
              <w:rPr>
                <w:sz w:val="20"/>
                <w:szCs w:val="20"/>
              </w:rPr>
            </w:pPr>
            <w:r>
              <w:rPr>
                <w:sz w:val="20"/>
                <w:szCs w:val="20"/>
              </w:rPr>
              <w:t>0 (0%)</w:t>
            </w:r>
          </w:p>
        </w:tc>
        <w:tc>
          <w:tcPr>
            <w:tcW w:w="1398" w:type="pct"/>
            <w:tcBorders/>
            <w:vAlign w:val="center"/>
          </w:tcPr>
          <w:p>
            <w:pPr>
              <w:pStyle w:val="style0"/>
              <w:spacing w:before="100" w:after="100"/>
              <w:ind w:firstLine="0"/>
              <w:jc w:val="center"/>
              <w:rPr>
                <w:sz w:val="20"/>
                <w:szCs w:val="20"/>
              </w:rPr>
            </w:pPr>
            <w:r>
              <w:rPr>
                <w:sz w:val="20"/>
                <w:szCs w:val="20"/>
              </w:rPr>
              <w:t>1 (3.3%)</w:t>
            </w:r>
          </w:p>
        </w:tc>
        <w:tc>
          <w:tcPr>
            <w:tcW w:w="675" w:type="pct"/>
            <w:tcBorders/>
            <w:vAlign w:val="center"/>
          </w:tcPr>
          <w:p>
            <w:pPr>
              <w:pStyle w:val="style0"/>
              <w:spacing w:before="100" w:after="100"/>
              <w:ind w:firstLine="0"/>
              <w:jc w:val="center"/>
              <w:rPr>
                <w:sz w:val="20"/>
                <w:szCs w:val="20"/>
              </w:rPr>
            </w:pPr>
            <w:r>
              <w:rPr>
                <w:sz w:val="20"/>
                <w:szCs w:val="20"/>
              </w:rPr>
              <w:t>0.092</w:t>
            </w:r>
          </w:p>
        </w:tc>
      </w:tr>
      <w:tr>
        <w:tblPrEx/>
        <w:trPr>
          <w:trHeight w:val="373" w:hRule="atLeast"/>
        </w:trPr>
        <w:tc>
          <w:tcPr>
            <w:tcW w:w="1781" w:type="pct"/>
            <w:tcBorders/>
          </w:tcPr>
          <w:p>
            <w:pPr>
              <w:pStyle w:val="style0"/>
              <w:spacing w:before="100" w:after="100"/>
              <w:ind w:firstLine="0"/>
              <w:rPr>
                <w:b/>
                <w:bCs/>
                <w:sz w:val="20"/>
                <w:szCs w:val="20"/>
              </w:rPr>
            </w:pPr>
            <w:r>
              <w:rPr>
                <w:b/>
                <w:bCs/>
                <w:sz w:val="20"/>
                <w:szCs w:val="20"/>
              </w:rPr>
              <w:t>Increase urination</w:t>
            </w:r>
          </w:p>
        </w:tc>
        <w:tc>
          <w:tcPr>
            <w:tcW w:w="1145" w:type="pct"/>
            <w:tcBorders/>
            <w:vAlign w:val="center"/>
          </w:tcPr>
          <w:p>
            <w:pPr>
              <w:pStyle w:val="style0"/>
              <w:spacing w:before="100" w:after="100"/>
              <w:ind w:firstLine="0"/>
              <w:jc w:val="center"/>
              <w:rPr>
                <w:sz w:val="20"/>
                <w:szCs w:val="20"/>
              </w:rPr>
            </w:pPr>
            <w:r>
              <w:rPr>
                <w:sz w:val="20"/>
                <w:szCs w:val="20"/>
              </w:rPr>
              <w:t>73 (84.9%)</w:t>
            </w:r>
          </w:p>
        </w:tc>
        <w:tc>
          <w:tcPr>
            <w:tcW w:w="1398" w:type="pct"/>
            <w:tcBorders/>
            <w:vAlign w:val="center"/>
          </w:tcPr>
          <w:p>
            <w:pPr>
              <w:pStyle w:val="style0"/>
              <w:spacing w:before="100" w:after="100"/>
              <w:ind w:firstLine="0"/>
              <w:jc w:val="center"/>
              <w:rPr>
                <w:sz w:val="20"/>
                <w:szCs w:val="20"/>
              </w:rPr>
            </w:pPr>
            <w:r>
              <w:rPr>
                <w:sz w:val="20"/>
                <w:szCs w:val="20"/>
              </w:rPr>
              <w:t>22 (73.3%)</w:t>
            </w:r>
          </w:p>
        </w:tc>
        <w:tc>
          <w:tcPr>
            <w:tcW w:w="675" w:type="pct"/>
            <w:tcBorders/>
            <w:vAlign w:val="center"/>
          </w:tcPr>
          <w:p>
            <w:pPr>
              <w:pStyle w:val="style0"/>
              <w:spacing w:before="100" w:after="100"/>
              <w:ind w:firstLine="0"/>
              <w:jc w:val="center"/>
              <w:rPr>
                <w:sz w:val="20"/>
                <w:szCs w:val="20"/>
              </w:rPr>
            </w:pPr>
            <w:r>
              <w:rPr>
                <w:sz w:val="20"/>
                <w:szCs w:val="20"/>
              </w:rPr>
              <w:t>0.157</w:t>
            </w:r>
          </w:p>
        </w:tc>
      </w:tr>
    </w:tbl>
    <w:p>
      <w:pPr>
        <w:pStyle w:val="style0"/>
        <w:spacing w:before="100" w:after="100" w:lineRule="auto" w:line="240"/>
        <w:ind w:firstLine="0"/>
        <w:rPr>
          <w:sz w:val="20"/>
          <w:szCs w:val="20"/>
        </w:rPr>
      </w:pPr>
      <w:r>
        <w:rPr>
          <w:sz w:val="20"/>
          <w:szCs w:val="20"/>
        </w:rPr>
        <w:t>*p Value is significant</w:t>
      </w:r>
    </w:p>
    <w:p>
      <w:pPr>
        <w:pStyle w:val="style0"/>
        <w:spacing w:lineRule="auto" w:line="240"/>
        <w:ind w:firstLine="0"/>
        <w:rPr>
          <w:b/>
          <w:bCs/>
          <w:sz w:val="20"/>
          <w:szCs w:val="20"/>
        </w:rPr>
      </w:pPr>
    </w:p>
    <w:p>
      <w:pPr>
        <w:pStyle w:val="style179"/>
        <w:numPr>
          <w:ilvl w:val="0"/>
          <w:numId w:val="1"/>
        </w:numPr>
        <w:spacing w:lineRule="auto" w:line="240"/>
        <w:ind w:left="360" w:firstLine="0"/>
        <w:jc w:val="center"/>
        <w:rPr>
          <w:b/>
          <w:bCs/>
          <w:sz w:val="22"/>
        </w:rPr>
      </w:pPr>
      <w:r>
        <w:rPr>
          <w:b/>
          <w:bCs/>
          <w:sz w:val="22"/>
        </w:rPr>
        <w:t>DISCUSSION</w:t>
      </w:r>
    </w:p>
    <w:p>
      <w:pPr>
        <w:pStyle w:val="style0"/>
        <w:spacing w:after="100"/>
        <w:rPr>
          <w:sz w:val="20"/>
          <w:szCs w:val="20"/>
          <w:vertAlign w:val="superscript"/>
        </w:rPr>
      </w:pPr>
      <w:r>
        <w:rPr>
          <w:sz w:val="20"/>
          <w:szCs w:val="20"/>
        </w:rPr>
        <w:t xml:space="preserve">Anemia frequently occurs in patients with type </w:t>
      </w:r>
      <w:r>
        <w:rPr>
          <w:sz w:val="20"/>
          <w:szCs w:val="20"/>
        </w:rPr>
        <w:t>2</w:t>
      </w:r>
      <w:r>
        <w:rPr>
          <w:sz w:val="20"/>
          <w:szCs w:val="20"/>
        </w:rPr>
        <w:t xml:space="preserve"> diabetes mellitus (T2DM) and can significantly impact their quality of life. Recent findings suggest that sodium-glucose cotransporter-2 (SGLT2) inhibitors, which </w:t>
      </w:r>
      <w:r>
        <w:rPr>
          <w:sz w:val="20"/>
          <w:szCs w:val="20"/>
        </w:rPr>
        <w:t>are primarily prescribed</w:t>
      </w:r>
      <w:r>
        <w:rPr>
          <w:sz w:val="20"/>
          <w:szCs w:val="20"/>
        </w:rPr>
        <w:t xml:space="preserve"> to control blood glucose levels, may also help improve hemoglobin levels by regulating iron metabolism and stimulating erythropoiesis. However, the impact of SGLT2 inhibitors on hemoglobin, particularly in those with comorbidities like chronic kidney disease or cardiovascular conditions, </w:t>
      </w:r>
      <w:r>
        <w:rPr>
          <w:sz w:val="20"/>
          <w:szCs w:val="20"/>
        </w:rPr>
        <w:t>is not well understood</w:t>
      </w:r>
      <w:r>
        <w:rPr>
          <w:sz w:val="20"/>
          <w:szCs w:val="20"/>
        </w:rPr>
        <w:t>. This study investigates the effect of SGLT2 inhibitors on hemoglobin levels in T2DM patients, considering their potential adv</w:t>
      </w:r>
      <w:r>
        <w:rPr>
          <w:sz w:val="20"/>
          <w:szCs w:val="20"/>
        </w:rPr>
        <w:t xml:space="preserve">antages beyond glycemic control </w:t>
      </w:r>
      <w:bookmarkStart w:id="0" w:name="_GoBack"/>
      <w:bookmarkEnd w:id="0"/>
      <w:r>
        <w:rPr>
          <w:sz w:val="20"/>
          <w:szCs w:val="20"/>
          <w:vertAlign w:val="superscript"/>
        </w:rPr>
        <w:t>[7]</w:t>
      </w:r>
      <w:r>
        <w:rPr>
          <w:sz w:val="20"/>
          <w:szCs w:val="20"/>
        </w:rPr>
        <w:t>.</w:t>
      </w:r>
      <w:r>
        <w:rPr>
          <w:sz w:val="20"/>
          <w:szCs w:val="20"/>
        </w:rPr>
        <w:t xml:space="preserve"> </w:t>
      </w:r>
    </w:p>
    <w:p>
      <w:pPr>
        <w:pStyle w:val="style0"/>
        <w:spacing w:after="100"/>
        <w:rPr>
          <w:sz w:val="20"/>
          <w:szCs w:val="20"/>
        </w:rPr>
      </w:pPr>
      <w:r>
        <w:rPr>
          <w:sz w:val="20"/>
          <w:szCs w:val="20"/>
        </w:rPr>
        <w:t xml:space="preserve">In our study, we observed that age was significantly higher in the T2DM with comorbidity group (57.9 ± 9.7 years) compared to the T2DM-only group (53.7 ± 8.1 years), with a p-value of 0.020. This finding is consistent with previous studies showing that T2DM patients with comorbidities, such as cardiovascular and renal diseases, tend to be older. </w:t>
      </w:r>
      <w:r>
        <w:rPr>
          <w:sz w:val="20"/>
          <w:szCs w:val="20"/>
        </w:rPr>
        <w:t>Jyotsna</w:t>
      </w:r>
      <w:r>
        <w:rPr>
          <w:sz w:val="20"/>
          <w:szCs w:val="20"/>
        </w:rPr>
        <w:t xml:space="preserve"> </w:t>
      </w:r>
      <w:r>
        <w:rPr>
          <w:sz w:val="20"/>
          <w:szCs w:val="20"/>
        </w:rPr>
        <w:t>et al.</w:t>
      </w:r>
      <w:r>
        <w:rPr>
          <w:b/>
          <w:bCs/>
          <w:sz w:val="20"/>
          <w:szCs w:val="20"/>
        </w:rPr>
        <w:t xml:space="preserve"> </w:t>
      </w:r>
      <w:r>
        <w:rPr>
          <w:sz w:val="20"/>
          <w:szCs w:val="20"/>
        </w:rPr>
        <w:t xml:space="preserve">reported that T2DM patients with comorbidities were, on average, 5-7 years older </w:t>
      </w:r>
      <w:r>
        <w:rPr>
          <w:sz w:val="20"/>
          <w:szCs w:val="20"/>
        </w:rPr>
        <w:t>than those with T2DM</w:t>
      </w:r>
      <w:r>
        <w:rPr>
          <w:sz w:val="20"/>
          <w:szCs w:val="20"/>
        </w:rPr>
        <w:t xml:space="preserve"> alone. Interestingly, our study revealed no significant differences in gender distribution or BMI between groups (p = 0.9</w:t>
      </w:r>
      <w:r>
        <w:rPr>
          <w:sz w:val="20"/>
          <w:szCs w:val="20"/>
        </w:rPr>
        <w:t xml:space="preserve">64 and p = 0.282, respectively) </w:t>
      </w:r>
      <w:r>
        <w:rPr>
          <w:sz w:val="20"/>
          <w:szCs w:val="20"/>
          <w:vertAlign w:val="superscript"/>
        </w:rPr>
        <w:t>[8</w:t>
      </w:r>
      <w:r>
        <w:rPr>
          <w:sz w:val="20"/>
          <w:szCs w:val="20"/>
          <w:vertAlign w:val="superscript"/>
        </w:rPr>
        <w:t>]</w:t>
      </w:r>
      <w:r>
        <w:rPr>
          <w:sz w:val="20"/>
          <w:szCs w:val="20"/>
        </w:rPr>
        <w:t>.</w:t>
      </w:r>
      <w:r>
        <w:rPr>
          <w:sz w:val="20"/>
          <w:szCs w:val="20"/>
        </w:rPr>
        <w:t xml:space="preserve"> </w:t>
      </w:r>
      <w:r>
        <w:rPr>
          <w:sz w:val="20"/>
          <w:szCs w:val="20"/>
        </w:rPr>
        <w:t xml:space="preserve">Also, </w:t>
      </w:r>
      <w:r>
        <w:rPr>
          <w:sz w:val="20"/>
          <w:szCs w:val="20"/>
        </w:rPr>
        <w:t xml:space="preserve">aligning with </w:t>
      </w:r>
      <w:r>
        <w:rPr>
          <w:sz w:val="20"/>
          <w:szCs w:val="20"/>
        </w:rPr>
        <w:t>Kautzky-Willer</w:t>
      </w:r>
      <w:r>
        <w:rPr>
          <w:sz w:val="20"/>
          <w:szCs w:val="20"/>
        </w:rPr>
        <w:t xml:space="preserve"> et al.</w:t>
      </w:r>
      <w:r>
        <w:rPr>
          <w:sz w:val="20"/>
          <w:szCs w:val="20"/>
        </w:rPr>
        <w:t>, who reported no gender bias in T2DM patients, r</w:t>
      </w:r>
      <w:r>
        <w:rPr>
          <w:sz w:val="20"/>
          <w:szCs w:val="20"/>
        </w:rPr>
        <w:t xml:space="preserve">egardless of comorbidity status </w:t>
      </w:r>
      <w:r>
        <w:rPr>
          <w:sz w:val="20"/>
          <w:szCs w:val="20"/>
          <w:vertAlign w:val="superscript"/>
        </w:rPr>
        <w:t>[9</w:t>
      </w:r>
      <w:r>
        <w:rPr>
          <w:sz w:val="20"/>
          <w:szCs w:val="20"/>
          <w:vertAlign w:val="superscript"/>
        </w:rPr>
        <w:t>]</w:t>
      </w:r>
      <w:r>
        <w:rPr>
          <w:sz w:val="20"/>
          <w:szCs w:val="20"/>
        </w:rPr>
        <w:t>.</w:t>
      </w:r>
    </w:p>
    <w:p>
      <w:pPr>
        <w:pStyle w:val="style0"/>
        <w:spacing w:after="100"/>
        <w:rPr>
          <w:sz w:val="20"/>
          <w:szCs w:val="20"/>
        </w:rPr>
      </w:pPr>
      <w:r>
        <w:rPr>
          <w:sz w:val="20"/>
          <w:szCs w:val="20"/>
        </w:rPr>
        <w:t xml:space="preserve">Moreover, our finding of a longer duration of diabetes in the comorbidity group (12.6 ± 3.2 years vs. 9.4 ± 3.0 years, p &lt; 0.001) is consistent with prior research, such as </w:t>
      </w:r>
      <w:r>
        <w:rPr>
          <w:sz w:val="20"/>
          <w:szCs w:val="20"/>
        </w:rPr>
        <w:t>Kim et al.,</w:t>
      </w:r>
      <w:r>
        <w:rPr>
          <w:sz w:val="20"/>
          <w:szCs w:val="20"/>
        </w:rPr>
        <w:t xml:space="preserve"> which indicated that T2DM patients with comorbidities often have a longer history of the disease, a result of the progress</w:t>
      </w:r>
      <w:r>
        <w:rPr>
          <w:sz w:val="20"/>
          <w:szCs w:val="20"/>
        </w:rPr>
        <w:t xml:space="preserve">ion of associated complications </w:t>
      </w:r>
      <w:r>
        <w:rPr>
          <w:sz w:val="20"/>
          <w:szCs w:val="20"/>
          <w:vertAlign w:val="superscript"/>
        </w:rPr>
        <w:t>[10]</w:t>
      </w:r>
      <w:r>
        <w:rPr>
          <w:sz w:val="20"/>
          <w:szCs w:val="20"/>
        </w:rPr>
        <w:t>.</w:t>
      </w:r>
    </w:p>
    <w:p>
      <w:pPr>
        <w:pStyle w:val="style0"/>
        <w:spacing w:after="100"/>
        <w:rPr>
          <w:sz w:val="20"/>
          <w:szCs w:val="20"/>
        </w:rPr>
      </w:pPr>
      <w:r>
        <w:rPr>
          <w:sz w:val="20"/>
          <w:szCs w:val="20"/>
        </w:rPr>
        <w:t xml:space="preserve">Both groups in our study demonstrated significant improvements in hemoglobin levels following treatment with </w:t>
      </w:r>
      <w:r>
        <w:rPr>
          <w:sz w:val="20"/>
          <w:szCs w:val="20"/>
        </w:rPr>
        <w:t>Dapagliflozin</w:t>
      </w:r>
      <w:r>
        <w:rPr>
          <w:sz w:val="20"/>
          <w:szCs w:val="20"/>
        </w:rPr>
        <w:t>. Specifically, the T2DM-only group experienced a larger increase in hemoglobin, from 13.3 ± 1.8 g/</w:t>
      </w:r>
      <w:r>
        <w:rPr>
          <w:sz w:val="20"/>
          <w:szCs w:val="20"/>
        </w:rPr>
        <w:t>dL</w:t>
      </w:r>
      <w:r>
        <w:rPr>
          <w:sz w:val="20"/>
          <w:szCs w:val="20"/>
        </w:rPr>
        <w:t xml:space="preserve"> to 13.8 ± 1.5 g/</w:t>
      </w:r>
      <w:r>
        <w:rPr>
          <w:sz w:val="20"/>
          <w:szCs w:val="20"/>
        </w:rPr>
        <w:t>dL</w:t>
      </w:r>
      <w:r>
        <w:rPr>
          <w:sz w:val="20"/>
          <w:szCs w:val="20"/>
        </w:rPr>
        <w:t xml:space="preserve"> (p &lt; 0.001), while the T2DM with comorbidity group saw a smaller, but still significant, increase from 12.8 ± 1.6 g/</w:t>
      </w:r>
      <w:r>
        <w:rPr>
          <w:sz w:val="20"/>
          <w:szCs w:val="20"/>
        </w:rPr>
        <w:t>dL</w:t>
      </w:r>
      <w:r>
        <w:rPr>
          <w:sz w:val="20"/>
          <w:szCs w:val="20"/>
        </w:rPr>
        <w:t xml:space="preserve"> to 13.2 ± 1.8 g/</w:t>
      </w:r>
      <w:r>
        <w:rPr>
          <w:sz w:val="20"/>
          <w:szCs w:val="20"/>
        </w:rPr>
        <w:t>dL</w:t>
      </w:r>
      <w:r>
        <w:rPr>
          <w:sz w:val="20"/>
          <w:szCs w:val="20"/>
        </w:rPr>
        <w:t xml:space="preserve"> (p = 0.042). These findings are consistent with previous studies examining the impact of SGLT2 inhibitors on hemoglobin levels in diabetic patients. Notably, SGLT2 inhibitors, including </w:t>
      </w:r>
      <w:r>
        <w:rPr>
          <w:sz w:val="20"/>
          <w:szCs w:val="20"/>
        </w:rPr>
        <w:t>Dapagliflozin</w:t>
      </w:r>
      <w:r>
        <w:rPr>
          <w:sz w:val="20"/>
          <w:szCs w:val="20"/>
        </w:rPr>
        <w:t xml:space="preserve">, </w:t>
      </w:r>
      <w:r>
        <w:rPr>
          <w:sz w:val="20"/>
          <w:szCs w:val="20"/>
        </w:rPr>
        <w:t>have been shown</w:t>
      </w:r>
      <w:r>
        <w:rPr>
          <w:sz w:val="20"/>
          <w:szCs w:val="20"/>
        </w:rPr>
        <w:t xml:space="preserve"> to increase hemoglobin levels by modulating </w:t>
      </w:r>
      <w:r>
        <w:rPr>
          <w:sz w:val="20"/>
          <w:szCs w:val="20"/>
        </w:rPr>
        <w:t>hepcidin</w:t>
      </w:r>
      <w:r>
        <w:rPr>
          <w:sz w:val="20"/>
          <w:szCs w:val="20"/>
        </w:rPr>
        <w:t xml:space="preserve">, a hormone that suppresses erythropoiesis </w:t>
      </w:r>
      <w:r>
        <w:rPr>
          <w:sz w:val="20"/>
          <w:szCs w:val="20"/>
          <w:vertAlign w:val="superscript"/>
        </w:rPr>
        <w:t>[11]</w:t>
      </w:r>
      <w:r>
        <w:rPr>
          <w:sz w:val="20"/>
          <w:szCs w:val="20"/>
        </w:rPr>
        <w:t xml:space="preserve">. This reduction in </w:t>
      </w:r>
      <w:r>
        <w:rPr>
          <w:sz w:val="20"/>
          <w:szCs w:val="20"/>
        </w:rPr>
        <w:t>hepcidin</w:t>
      </w:r>
      <w:r>
        <w:rPr>
          <w:sz w:val="20"/>
          <w:szCs w:val="20"/>
        </w:rPr>
        <w:t>, along with improved iron kinetics, facilitates enhanced red blood cell production, which could explain the observed improvements in hemoglobin levels.</w:t>
      </w:r>
    </w:p>
    <w:p>
      <w:pPr>
        <w:pStyle w:val="style0"/>
        <w:spacing w:after="100"/>
        <w:rPr>
          <w:sz w:val="20"/>
          <w:szCs w:val="20"/>
        </w:rPr>
      </w:pPr>
      <w:r>
        <w:rPr>
          <w:sz w:val="20"/>
          <w:szCs w:val="20"/>
        </w:rPr>
        <w:t xml:space="preserve">Our findings are further supported by multi-center studies such as those by </w:t>
      </w:r>
      <w:r>
        <w:rPr>
          <w:sz w:val="20"/>
          <w:szCs w:val="20"/>
        </w:rPr>
        <w:t>Toyama et al. [12]</w:t>
      </w:r>
      <w:r>
        <w:rPr>
          <w:sz w:val="20"/>
          <w:szCs w:val="20"/>
        </w:rPr>
        <w:t>,</w:t>
      </w:r>
      <w:r>
        <w:rPr>
          <w:sz w:val="20"/>
          <w:szCs w:val="20"/>
        </w:rPr>
        <w:t xml:space="preserve"> who observed a significant increase in hemoglobin levels in T2DM patients treated with </w:t>
      </w:r>
      <w:r>
        <w:rPr>
          <w:sz w:val="20"/>
          <w:szCs w:val="20"/>
        </w:rPr>
        <w:t>Dapagliflozin</w:t>
      </w:r>
      <w:r>
        <w:rPr>
          <w:sz w:val="20"/>
          <w:szCs w:val="20"/>
        </w:rPr>
        <w:t xml:space="preserve"> over 24 weeks, from 13.0 ± 1.9 g/</w:t>
      </w:r>
      <w:r>
        <w:rPr>
          <w:sz w:val="20"/>
          <w:szCs w:val="20"/>
        </w:rPr>
        <w:t>dL</w:t>
      </w:r>
      <w:r>
        <w:rPr>
          <w:sz w:val="20"/>
          <w:szCs w:val="20"/>
        </w:rPr>
        <w:t xml:space="preserve"> to 13.6 ± 1.8 g/</w:t>
      </w:r>
      <w:r>
        <w:rPr>
          <w:sz w:val="20"/>
          <w:szCs w:val="20"/>
        </w:rPr>
        <w:t>dL</w:t>
      </w:r>
      <w:r>
        <w:rPr>
          <w:sz w:val="20"/>
          <w:szCs w:val="20"/>
        </w:rPr>
        <w:t xml:space="preserve"> (p &lt; 0.001). The increase in hemoglobin was more pronounced in patients without comorbidities, while those with renal disease (</w:t>
      </w:r>
      <w:r>
        <w:rPr>
          <w:sz w:val="20"/>
          <w:szCs w:val="20"/>
        </w:rPr>
        <w:t>eGFR</w:t>
      </w:r>
      <w:r>
        <w:rPr>
          <w:sz w:val="20"/>
          <w:szCs w:val="20"/>
        </w:rPr>
        <w:t xml:space="preserve"> &lt; 60 mL/min/1.73m²) showed a more modest improvement, consistent with our study's results.</w:t>
      </w:r>
    </w:p>
    <w:p>
      <w:pPr>
        <w:pStyle w:val="style0"/>
        <w:spacing w:after="100"/>
        <w:rPr>
          <w:sz w:val="20"/>
          <w:szCs w:val="20"/>
        </w:rPr>
      </w:pPr>
      <w:r>
        <w:rPr>
          <w:sz w:val="20"/>
          <w:szCs w:val="20"/>
        </w:rPr>
        <w:t xml:space="preserve">Additionally, </w:t>
      </w:r>
      <w:r>
        <w:rPr>
          <w:sz w:val="20"/>
          <w:szCs w:val="20"/>
        </w:rPr>
        <w:t>D’Andrea</w:t>
      </w:r>
      <w:r>
        <w:rPr>
          <w:sz w:val="20"/>
          <w:szCs w:val="20"/>
        </w:rPr>
        <w:t xml:space="preserve"> et al.</w:t>
      </w:r>
      <w:r>
        <w:rPr>
          <w:b/>
          <w:bCs/>
          <w:sz w:val="20"/>
          <w:szCs w:val="20"/>
        </w:rPr>
        <w:t xml:space="preserve"> </w:t>
      </w:r>
      <w:r>
        <w:rPr>
          <w:sz w:val="20"/>
          <w:szCs w:val="20"/>
        </w:rPr>
        <w:t xml:space="preserve">highlighted that SGLT2 inhibitors can maintain or improve </w:t>
      </w:r>
      <w:r>
        <w:rPr>
          <w:sz w:val="20"/>
          <w:szCs w:val="20"/>
        </w:rPr>
        <w:t>Hb</w:t>
      </w:r>
      <w:r>
        <w:rPr>
          <w:sz w:val="20"/>
          <w:szCs w:val="20"/>
        </w:rPr>
        <w:t xml:space="preserve"> levels more effectively than other </w:t>
      </w:r>
      <w:r>
        <w:rPr>
          <w:sz w:val="20"/>
          <w:szCs w:val="20"/>
        </w:rPr>
        <w:t>antidiabetic</w:t>
      </w:r>
      <w:r>
        <w:rPr>
          <w:sz w:val="20"/>
          <w:szCs w:val="20"/>
        </w:rPr>
        <w:t xml:space="preserve"> medications, such as DPP-4 inhibitors. In their study, patients on SGLT2 inhibitors exhibited a smaller decline in </w:t>
      </w:r>
      <w:r>
        <w:rPr>
          <w:sz w:val="20"/>
          <w:szCs w:val="20"/>
        </w:rPr>
        <w:t>Hb</w:t>
      </w:r>
      <w:r>
        <w:rPr>
          <w:sz w:val="20"/>
          <w:szCs w:val="20"/>
        </w:rPr>
        <w:t xml:space="preserve"> levels compared to those on DPP-4 inhibitors, emphasizing the potential of SGLT2 inhibitors in mitigating anemia in diabetic patients</w:t>
      </w:r>
      <w:r>
        <w:rPr>
          <w:sz w:val="20"/>
          <w:szCs w:val="20"/>
        </w:rPr>
        <w:t xml:space="preserve"> </w:t>
      </w:r>
      <w:r>
        <w:rPr>
          <w:sz w:val="20"/>
          <w:szCs w:val="20"/>
          <w:vertAlign w:val="superscript"/>
        </w:rPr>
        <w:t>[13]</w:t>
      </w:r>
      <w:r>
        <w:rPr>
          <w:sz w:val="20"/>
          <w:szCs w:val="20"/>
        </w:rPr>
        <w:t>.</w:t>
      </w:r>
    </w:p>
    <w:p>
      <w:pPr>
        <w:pStyle w:val="style0"/>
        <w:spacing w:after="100"/>
        <w:rPr>
          <w:sz w:val="20"/>
          <w:szCs w:val="20"/>
        </w:rPr>
      </w:pPr>
      <w:r>
        <w:rPr>
          <w:sz w:val="20"/>
          <w:szCs w:val="20"/>
        </w:rPr>
        <w:t xml:space="preserve">Interestingly, research also suggests that SGLT2 inhibitors can maintain anemia suppression effects even in patients with impaired renal function. </w:t>
      </w:r>
      <w:r>
        <w:rPr>
          <w:sz w:val="20"/>
          <w:szCs w:val="20"/>
        </w:rPr>
        <w:t>Yoshida et al. reported</w:t>
      </w:r>
      <w:r>
        <w:rPr>
          <w:sz w:val="20"/>
          <w:szCs w:val="20"/>
        </w:rPr>
        <w:t xml:space="preserve"> that despite declines in </w:t>
      </w:r>
      <w:r>
        <w:rPr>
          <w:sz w:val="20"/>
          <w:szCs w:val="20"/>
        </w:rPr>
        <w:t>eGFR</w:t>
      </w:r>
      <w:r>
        <w:rPr>
          <w:sz w:val="20"/>
          <w:szCs w:val="20"/>
        </w:rPr>
        <w:t xml:space="preserve">, patients on SGLT2 inhibitors exhibited increased erythropoietin (EPO) and reticulocyte counts, indicating a compensatory response to maintain hemoglobin levels. This is particularly </w:t>
      </w:r>
      <w:r>
        <w:rPr>
          <w:sz w:val="20"/>
          <w:szCs w:val="20"/>
        </w:rPr>
        <w:t>important</w:t>
      </w:r>
      <w:r>
        <w:rPr>
          <w:sz w:val="20"/>
          <w:szCs w:val="20"/>
        </w:rPr>
        <w:t xml:space="preserve"> as anemia is a common complication in patients with T2DM, often exacerbated by declining renal function</w:t>
      </w:r>
      <w:r>
        <w:rPr>
          <w:b/>
          <w:bCs/>
          <w:sz w:val="20"/>
          <w:szCs w:val="20"/>
        </w:rPr>
        <w:t xml:space="preserve"> </w:t>
      </w:r>
      <w:r>
        <w:rPr>
          <w:sz w:val="20"/>
          <w:szCs w:val="20"/>
          <w:vertAlign w:val="superscript"/>
        </w:rPr>
        <w:t>[14]</w:t>
      </w:r>
      <w:r>
        <w:rPr>
          <w:sz w:val="20"/>
          <w:szCs w:val="20"/>
        </w:rPr>
        <w:t xml:space="preserve">. Our study's results align with this, showing that patients with longer durations of diabetes and comorbidities, such as cardiovascular and renal diseases, may experience a somewhat reduced response to hemoglobin improvements following treatment with </w:t>
      </w:r>
      <w:r>
        <w:rPr>
          <w:sz w:val="20"/>
          <w:szCs w:val="20"/>
        </w:rPr>
        <w:t>Dapagliflozin</w:t>
      </w:r>
      <w:r>
        <w:rPr>
          <w:sz w:val="20"/>
          <w:szCs w:val="20"/>
        </w:rPr>
        <w:t>, potentially due to a combination of older age, longer disease duration, and progression of comorbid conditions.</w:t>
      </w:r>
    </w:p>
    <w:p>
      <w:pPr>
        <w:pStyle w:val="style0"/>
        <w:spacing w:after="100"/>
        <w:rPr>
          <w:sz w:val="20"/>
          <w:szCs w:val="20"/>
        </w:rPr>
      </w:pPr>
      <w:r>
        <w:rPr>
          <w:sz w:val="20"/>
          <w:szCs w:val="20"/>
        </w:rPr>
        <w:t xml:space="preserve">Furthermore, studies suggest that men may experience a more pronounced anemia-suppressing effect with SGLT2 inhibitors compared to women, as indicated by logistic regression analyses and higher odds ratios for anemia suppression in male patients </w:t>
      </w:r>
      <w:r>
        <w:rPr>
          <w:sz w:val="20"/>
          <w:szCs w:val="20"/>
          <w:vertAlign w:val="superscript"/>
        </w:rPr>
        <w:t>[7]</w:t>
      </w:r>
      <w:r>
        <w:rPr>
          <w:sz w:val="20"/>
          <w:szCs w:val="20"/>
        </w:rPr>
        <w:t>.</w:t>
      </w:r>
      <w:r>
        <w:rPr>
          <w:sz w:val="20"/>
          <w:szCs w:val="20"/>
        </w:rPr>
        <w:t xml:space="preserve"> This potential sex-based difference in response warrants further investigation, especially in the context of long-term treatment.</w:t>
      </w:r>
    </w:p>
    <w:p>
      <w:pPr>
        <w:pStyle w:val="style0"/>
        <w:spacing w:after="100"/>
        <w:rPr>
          <w:sz w:val="20"/>
          <w:szCs w:val="20"/>
        </w:rPr>
      </w:pPr>
      <w:r>
        <w:rPr>
          <w:sz w:val="20"/>
          <w:szCs w:val="20"/>
        </w:rPr>
        <w:t>DeFronzo</w:t>
      </w:r>
      <w:r>
        <w:rPr>
          <w:sz w:val="20"/>
          <w:szCs w:val="20"/>
        </w:rPr>
        <w:t xml:space="preserve"> </w:t>
      </w:r>
      <w:r>
        <w:rPr>
          <w:sz w:val="20"/>
          <w:szCs w:val="20"/>
        </w:rPr>
        <w:t>et al.</w:t>
      </w:r>
      <w:r>
        <w:rPr>
          <w:b/>
          <w:bCs/>
          <w:sz w:val="20"/>
          <w:szCs w:val="20"/>
        </w:rPr>
        <w:t xml:space="preserve"> </w:t>
      </w:r>
      <w:r>
        <w:rPr>
          <w:sz w:val="20"/>
          <w:szCs w:val="20"/>
        </w:rPr>
        <w:t xml:space="preserve">also examined the effects of SGLT2 inhibitors in patients with T2DM and renal impairment, finding that </w:t>
      </w:r>
      <w:r>
        <w:rPr>
          <w:sz w:val="20"/>
          <w:szCs w:val="20"/>
        </w:rPr>
        <w:t>Dapagliflozin</w:t>
      </w:r>
      <w:r>
        <w:rPr>
          <w:sz w:val="20"/>
          <w:szCs w:val="20"/>
        </w:rPr>
        <w:t xml:space="preserve"> increased hemoglobin from 12.8 ± 1.7 g/</w:t>
      </w:r>
      <w:r>
        <w:rPr>
          <w:sz w:val="20"/>
          <w:szCs w:val="20"/>
        </w:rPr>
        <w:t>dL</w:t>
      </w:r>
      <w:r>
        <w:rPr>
          <w:sz w:val="20"/>
          <w:szCs w:val="20"/>
        </w:rPr>
        <w:t xml:space="preserve"> to 13.3 ± 1.6 g/</w:t>
      </w:r>
      <w:r>
        <w:rPr>
          <w:sz w:val="20"/>
          <w:szCs w:val="20"/>
        </w:rPr>
        <w:t>dL</w:t>
      </w:r>
      <w:r>
        <w:rPr>
          <w:sz w:val="20"/>
          <w:szCs w:val="20"/>
        </w:rPr>
        <w:t xml:space="preserve"> (p = 0.002) in early-stage CKD patients (</w:t>
      </w:r>
      <w:r>
        <w:rPr>
          <w:sz w:val="20"/>
          <w:szCs w:val="20"/>
        </w:rPr>
        <w:t>eGFR</w:t>
      </w:r>
      <w:r>
        <w:rPr>
          <w:sz w:val="20"/>
          <w:szCs w:val="20"/>
        </w:rPr>
        <w:t xml:space="preserve"> ≥ 45 mL/min/1.73m²). However, in patients with more advanced kidney dysfunction (</w:t>
      </w:r>
      <w:r>
        <w:rPr>
          <w:sz w:val="20"/>
          <w:szCs w:val="20"/>
        </w:rPr>
        <w:t>eGFR</w:t>
      </w:r>
      <w:r>
        <w:rPr>
          <w:sz w:val="20"/>
          <w:szCs w:val="20"/>
        </w:rPr>
        <w:t xml:space="preserve"> &lt; 30 mL/min/1.73m²), the hemoglobin improvement was less significant (from 12.3 ± 1.5 g/</w:t>
      </w:r>
      <w:r>
        <w:rPr>
          <w:sz w:val="20"/>
          <w:szCs w:val="20"/>
        </w:rPr>
        <w:t>dL</w:t>
      </w:r>
      <w:r>
        <w:rPr>
          <w:sz w:val="20"/>
          <w:szCs w:val="20"/>
        </w:rPr>
        <w:t xml:space="preserve"> to 12.5 ± 1.6 g/</w:t>
      </w:r>
      <w:r>
        <w:rPr>
          <w:sz w:val="20"/>
          <w:szCs w:val="20"/>
        </w:rPr>
        <w:t>dL</w:t>
      </w:r>
      <w:r>
        <w:rPr>
          <w:sz w:val="20"/>
          <w:szCs w:val="20"/>
        </w:rPr>
        <w:t>, p = 0.156)</w:t>
      </w:r>
      <w:r>
        <w:rPr>
          <w:sz w:val="20"/>
          <w:szCs w:val="20"/>
        </w:rPr>
        <w:t xml:space="preserve"> </w:t>
      </w:r>
      <w:r>
        <w:rPr>
          <w:sz w:val="20"/>
          <w:szCs w:val="20"/>
          <w:vertAlign w:val="superscript"/>
        </w:rPr>
        <w:t>[15]</w:t>
      </w:r>
      <w:r>
        <w:rPr>
          <w:sz w:val="20"/>
          <w:szCs w:val="20"/>
        </w:rPr>
        <w:t>. These findings are consistent with our observation that renal impairment can limit the hemoglobin response to SGLT2 inhibitor therapy.</w:t>
      </w:r>
    </w:p>
    <w:p>
      <w:pPr>
        <w:pStyle w:val="style0"/>
        <w:spacing w:after="100"/>
        <w:rPr>
          <w:b/>
          <w:bCs/>
          <w:sz w:val="20"/>
          <w:szCs w:val="20"/>
        </w:rPr>
      </w:pPr>
      <w:r>
        <w:rPr>
          <w:sz w:val="20"/>
          <w:szCs w:val="20"/>
        </w:rPr>
        <w:t>The DAPA-HF trial, which focused on heart failure patients with reduced ejection fraction (</w:t>
      </w:r>
      <w:r>
        <w:rPr>
          <w:sz w:val="20"/>
          <w:szCs w:val="20"/>
        </w:rPr>
        <w:t>HFrEF</w:t>
      </w:r>
      <w:r>
        <w:rPr>
          <w:sz w:val="20"/>
          <w:szCs w:val="20"/>
        </w:rPr>
        <w:t xml:space="preserve">) and diabetes, also reported a modest but significant increase in hemoglobin levels after 12 months of </w:t>
      </w:r>
      <w:r>
        <w:rPr>
          <w:sz w:val="20"/>
          <w:szCs w:val="20"/>
        </w:rPr>
        <w:t>Dapagliflozin</w:t>
      </w:r>
      <w:r>
        <w:rPr>
          <w:sz w:val="20"/>
          <w:szCs w:val="20"/>
        </w:rPr>
        <w:t xml:space="preserve"> treatment, rising from 13.2 ± 1.7 g/</w:t>
      </w:r>
      <w:r>
        <w:rPr>
          <w:sz w:val="20"/>
          <w:szCs w:val="20"/>
        </w:rPr>
        <w:t>dL</w:t>
      </w:r>
      <w:r>
        <w:rPr>
          <w:sz w:val="20"/>
          <w:szCs w:val="20"/>
        </w:rPr>
        <w:t xml:space="preserve"> to 13.6 ± 1.8 g/</w:t>
      </w:r>
      <w:r>
        <w:rPr>
          <w:sz w:val="20"/>
          <w:szCs w:val="20"/>
        </w:rPr>
        <w:t>dL</w:t>
      </w:r>
      <w:r>
        <w:rPr>
          <w:sz w:val="20"/>
          <w:szCs w:val="20"/>
        </w:rPr>
        <w:t xml:space="preserve"> (p &lt; 0.001), compared to no significant change in the placebo group (p = 0.58) </w:t>
      </w:r>
      <w:r>
        <w:rPr>
          <w:sz w:val="20"/>
          <w:szCs w:val="20"/>
          <w:vertAlign w:val="superscript"/>
        </w:rPr>
        <w:t>[16]</w:t>
      </w:r>
      <w:r>
        <w:rPr>
          <w:sz w:val="20"/>
          <w:szCs w:val="20"/>
        </w:rPr>
        <w:t>. This emphasizes the potential of SGLT2 inhibitors to improve hematological outcomes in patients with cardiovascular disease.</w:t>
      </w:r>
    </w:p>
    <w:p>
      <w:pPr>
        <w:pStyle w:val="style0"/>
        <w:spacing w:after="100"/>
        <w:rPr>
          <w:sz w:val="20"/>
          <w:szCs w:val="20"/>
        </w:rPr>
      </w:pPr>
      <w:r>
        <w:rPr>
          <w:sz w:val="20"/>
          <w:szCs w:val="20"/>
        </w:rPr>
        <w:t xml:space="preserve">Interestingly, the CREDENCE trial, focusing on T2DM patients with CKD, showed a smaller increase in hemoglobin in patients with more advanced renal disease. Patients treated with </w:t>
      </w:r>
      <w:r>
        <w:rPr>
          <w:sz w:val="20"/>
          <w:szCs w:val="20"/>
        </w:rPr>
        <w:t>Canagliflozin</w:t>
      </w:r>
      <w:r>
        <w:rPr>
          <w:sz w:val="20"/>
          <w:szCs w:val="20"/>
        </w:rPr>
        <w:t>, another SGLT2 inhibitor, exhibited a slight increase in hemoglobin from 12.7 ± 1.9 g/</w:t>
      </w:r>
      <w:r>
        <w:rPr>
          <w:sz w:val="20"/>
          <w:szCs w:val="20"/>
        </w:rPr>
        <w:t>dL</w:t>
      </w:r>
      <w:r>
        <w:rPr>
          <w:sz w:val="20"/>
          <w:szCs w:val="20"/>
        </w:rPr>
        <w:t xml:space="preserve"> to 12.9 ± 1.8 g/</w:t>
      </w:r>
      <w:r>
        <w:rPr>
          <w:sz w:val="20"/>
          <w:szCs w:val="20"/>
        </w:rPr>
        <w:t>dL</w:t>
      </w:r>
      <w:r>
        <w:rPr>
          <w:sz w:val="20"/>
          <w:szCs w:val="20"/>
        </w:rPr>
        <w:t xml:space="preserve"> (p = 0.043), indicating a lower magnitude of improvement in patients with severe renal impairment</w:t>
      </w:r>
      <w:r>
        <w:rPr>
          <w:sz w:val="20"/>
          <w:szCs w:val="20"/>
        </w:rPr>
        <w:t xml:space="preserve"> </w:t>
      </w:r>
      <w:r>
        <w:rPr>
          <w:sz w:val="20"/>
          <w:szCs w:val="20"/>
          <w:vertAlign w:val="superscript"/>
        </w:rPr>
        <w:t>[17]</w:t>
      </w:r>
      <w:r>
        <w:rPr>
          <w:sz w:val="20"/>
          <w:szCs w:val="20"/>
        </w:rPr>
        <w:t>.</w:t>
      </w:r>
    </w:p>
    <w:p>
      <w:pPr>
        <w:pStyle w:val="style0"/>
        <w:spacing w:after="100"/>
        <w:rPr>
          <w:sz w:val="20"/>
          <w:szCs w:val="20"/>
        </w:rPr>
      </w:pPr>
      <w:r>
        <w:rPr>
          <w:sz w:val="20"/>
          <w:szCs w:val="20"/>
        </w:rPr>
        <w:t xml:space="preserve">Our study mirrors these findings, as the T2DM with comorbidity group, with an average age of 57.9 ± 9.7 years and a longer diabetes duration (12.6 ± 3.2 years), showed a more modest hemoglobin improvement than the T2DM-only group. This suggests that older age and prolonged diabetes duration may contribute to a diminished response to therapy, in line with </w:t>
      </w:r>
      <w:r>
        <w:rPr>
          <w:sz w:val="20"/>
          <w:szCs w:val="20"/>
        </w:rPr>
        <w:t>Jyotsna</w:t>
      </w:r>
      <w:r>
        <w:rPr>
          <w:sz w:val="20"/>
          <w:szCs w:val="20"/>
        </w:rPr>
        <w:t xml:space="preserve"> et al.</w:t>
      </w:r>
      <w:r>
        <w:rPr>
          <w:sz w:val="20"/>
          <w:szCs w:val="20"/>
        </w:rPr>
        <w:t>, who observed that patients with longer disease duration and more severe comorbidities tend to have a less pronounced hematological response to SGLT2 inhibitors</w:t>
      </w:r>
      <w:r>
        <w:rPr>
          <w:sz w:val="20"/>
          <w:szCs w:val="20"/>
        </w:rPr>
        <w:t xml:space="preserve"> </w:t>
      </w:r>
      <w:r>
        <w:rPr>
          <w:sz w:val="20"/>
          <w:szCs w:val="20"/>
          <w:vertAlign w:val="superscript"/>
        </w:rPr>
        <w:t>[8]</w:t>
      </w:r>
      <w:r>
        <w:rPr>
          <w:sz w:val="20"/>
          <w:szCs w:val="20"/>
        </w:rPr>
        <w:t>.</w:t>
      </w:r>
    </w:p>
    <w:p>
      <w:pPr>
        <w:pStyle w:val="style0"/>
        <w:spacing w:after="100"/>
        <w:rPr>
          <w:sz w:val="20"/>
          <w:szCs w:val="20"/>
        </w:rPr>
      </w:pPr>
      <w:r>
        <w:rPr>
          <w:sz w:val="20"/>
          <w:szCs w:val="20"/>
        </w:rPr>
        <w:t xml:space="preserve">Regarding kidney function, both groups showed significant increases in creatinine and urea levels following </w:t>
      </w:r>
      <w:r>
        <w:rPr>
          <w:sz w:val="20"/>
          <w:szCs w:val="20"/>
        </w:rPr>
        <w:t>Dapagliflozin</w:t>
      </w:r>
      <w:r>
        <w:rPr>
          <w:sz w:val="20"/>
          <w:szCs w:val="20"/>
        </w:rPr>
        <w:t xml:space="preserve"> treatment. Specifically, the T2DM-only group had an increase in creatinine from 0.88 ± 0.24 mg/</w:t>
      </w:r>
      <w:r>
        <w:rPr>
          <w:sz w:val="20"/>
          <w:szCs w:val="20"/>
        </w:rPr>
        <w:t>dL</w:t>
      </w:r>
      <w:r>
        <w:rPr>
          <w:sz w:val="20"/>
          <w:szCs w:val="20"/>
        </w:rPr>
        <w:t xml:space="preserve"> to 1.07 ± 0.25 mg/</w:t>
      </w:r>
      <w:r>
        <w:rPr>
          <w:sz w:val="20"/>
          <w:szCs w:val="20"/>
        </w:rPr>
        <w:t>dL</w:t>
      </w:r>
      <w:r>
        <w:rPr>
          <w:sz w:val="20"/>
          <w:szCs w:val="20"/>
        </w:rPr>
        <w:t xml:space="preserve"> (p &lt; 0.001), while the T2DM with comorbidity group exhibited an increase from 1.23 ± 0.52 mg/</w:t>
      </w:r>
      <w:r>
        <w:rPr>
          <w:sz w:val="20"/>
          <w:szCs w:val="20"/>
        </w:rPr>
        <w:t>dL</w:t>
      </w:r>
      <w:r>
        <w:rPr>
          <w:sz w:val="20"/>
          <w:szCs w:val="20"/>
        </w:rPr>
        <w:t xml:space="preserve"> to 1.38 ± 0.41 mg/</w:t>
      </w:r>
      <w:r>
        <w:rPr>
          <w:sz w:val="20"/>
          <w:szCs w:val="20"/>
        </w:rPr>
        <w:t>dL</w:t>
      </w:r>
      <w:r>
        <w:rPr>
          <w:sz w:val="20"/>
          <w:szCs w:val="20"/>
        </w:rPr>
        <w:t xml:space="preserve"> (p = 0.002). Urea levels also increased significantly in both groups. These findings are comparable to those of </w:t>
      </w:r>
      <w:r>
        <w:rPr>
          <w:sz w:val="20"/>
          <w:szCs w:val="20"/>
        </w:rPr>
        <w:t>Tat et al.</w:t>
      </w:r>
      <w:r>
        <w:rPr>
          <w:sz w:val="20"/>
          <w:szCs w:val="20"/>
        </w:rPr>
        <w:t>,</w:t>
      </w:r>
      <w:r>
        <w:rPr>
          <w:sz w:val="20"/>
          <w:szCs w:val="20"/>
        </w:rPr>
        <w:t xml:space="preserve"> who noted that SGLT2 inhibitors </w:t>
      </w:r>
      <w:r>
        <w:rPr>
          <w:sz w:val="20"/>
          <w:szCs w:val="20"/>
        </w:rPr>
        <w:t>can</w:t>
      </w:r>
      <w:r>
        <w:rPr>
          <w:sz w:val="20"/>
          <w:szCs w:val="20"/>
        </w:rPr>
        <w:t xml:space="preserve"> lead to a slight rise in creatinine and urea levels in patients with early renal dysfunction due to increased glomerular filtration</w:t>
      </w:r>
      <w:r>
        <w:rPr>
          <w:sz w:val="20"/>
          <w:szCs w:val="20"/>
        </w:rPr>
        <w:t xml:space="preserve"> </w:t>
      </w:r>
      <w:r>
        <w:rPr>
          <w:sz w:val="20"/>
          <w:szCs w:val="20"/>
          <w:vertAlign w:val="superscript"/>
        </w:rPr>
        <w:t>[18]</w:t>
      </w:r>
      <w:r>
        <w:rPr>
          <w:sz w:val="20"/>
          <w:szCs w:val="20"/>
        </w:rPr>
        <w:t>.</w:t>
      </w:r>
    </w:p>
    <w:p>
      <w:pPr>
        <w:pStyle w:val="style0"/>
        <w:spacing w:after="100"/>
        <w:rPr>
          <w:sz w:val="20"/>
          <w:szCs w:val="20"/>
        </w:rPr>
      </w:pPr>
      <w:r>
        <w:rPr>
          <w:sz w:val="20"/>
          <w:szCs w:val="20"/>
        </w:rPr>
        <w:t>However, we did not observe significant changes in albumin-to-creatinine ratio (ACR) or estimated glomerular filtration rate (</w:t>
      </w:r>
      <w:r>
        <w:rPr>
          <w:sz w:val="20"/>
          <w:szCs w:val="20"/>
        </w:rPr>
        <w:t>eGFR</w:t>
      </w:r>
      <w:r>
        <w:rPr>
          <w:sz w:val="20"/>
          <w:szCs w:val="20"/>
        </w:rPr>
        <w:t xml:space="preserve">), which suggests that the renal effects of </w:t>
      </w:r>
      <w:r>
        <w:rPr>
          <w:sz w:val="20"/>
          <w:szCs w:val="20"/>
        </w:rPr>
        <w:t>Dapagliflozin</w:t>
      </w:r>
      <w:r>
        <w:rPr>
          <w:sz w:val="20"/>
          <w:szCs w:val="20"/>
        </w:rPr>
        <w:t xml:space="preserve"> may not immediately influence these markers of kidney function. This aligns with findings from </w:t>
      </w:r>
      <w:r>
        <w:rPr>
          <w:sz w:val="20"/>
          <w:szCs w:val="20"/>
        </w:rPr>
        <w:t>Zou</w:t>
      </w:r>
      <w:r>
        <w:rPr>
          <w:sz w:val="20"/>
          <w:szCs w:val="20"/>
        </w:rPr>
        <w:t xml:space="preserve"> et al.</w:t>
      </w:r>
      <w:r>
        <w:rPr>
          <w:sz w:val="20"/>
          <w:szCs w:val="20"/>
        </w:rPr>
        <w:t>,</w:t>
      </w:r>
      <w:r>
        <w:rPr>
          <w:sz w:val="20"/>
          <w:szCs w:val="20"/>
        </w:rPr>
        <w:t xml:space="preserve"> who suggested that while SGLT2 inhibitors can cause short-term changes in creatinine and urea, their long-term impact on kidney function, particularly </w:t>
      </w:r>
      <w:r>
        <w:rPr>
          <w:sz w:val="20"/>
          <w:szCs w:val="20"/>
        </w:rPr>
        <w:t>eGFR</w:t>
      </w:r>
      <w:r>
        <w:rPr>
          <w:sz w:val="20"/>
          <w:szCs w:val="20"/>
        </w:rPr>
        <w:t xml:space="preserve"> and albuminuria, </w:t>
      </w:r>
      <w:r>
        <w:rPr>
          <w:sz w:val="20"/>
          <w:szCs w:val="20"/>
        </w:rPr>
        <w:t>may</w:t>
      </w:r>
      <w:r>
        <w:rPr>
          <w:sz w:val="20"/>
          <w:szCs w:val="20"/>
        </w:rPr>
        <w:t xml:space="preserve"> take longer to manifest</w:t>
      </w:r>
      <w:r>
        <w:rPr>
          <w:sz w:val="20"/>
          <w:szCs w:val="20"/>
        </w:rPr>
        <w:t xml:space="preserve"> </w:t>
      </w:r>
      <w:r>
        <w:rPr>
          <w:sz w:val="20"/>
          <w:szCs w:val="20"/>
          <w:vertAlign w:val="superscript"/>
        </w:rPr>
        <w:t>[19]</w:t>
      </w:r>
      <w:r>
        <w:rPr>
          <w:sz w:val="20"/>
          <w:szCs w:val="20"/>
        </w:rPr>
        <w:t>.</w:t>
      </w:r>
    </w:p>
    <w:p>
      <w:pPr>
        <w:pStyle w:val="style0"/>
        <w:spacing w:after="100"/>
        <w:rPr>
          <w:sz w:val="20"/>
          <w:szCs w:val="20"/>
        </w:rPr>
      </w:pPr>
      <w:r>
        <w:rPr>
          <w:sz w:val="20"/>
          <w:szCs w:val="20"/>
        </w:rPr>
        <w:t>In terms of adverse effects, dehydration was more common in the T2DM with comorbidity group (60%) compared to the T2DM-only group (34.9%, p = 0.018), and diabetic ketoacidosis (DKA) occurred in 6.7% of the T2DM with comorbidity group compared to none in the T2DM-only group (p = 0.016). These findings are co</w:t>
      </w:r>
      <w:r>
        <w:rPr>
          <w:sz w:val="20"/>
          <w:szCs w:val="20"/>
        </w:rPr>
        <w:t xml:space="preserve">nsistent with those reported by a study </w:t>
      </w:r>
      <w:r>
        <w:rPr>
          <w:sz w:val="20"/>
          <w:szCs w:val="20"/>
        </w:rPr>
        <w:t>who observed similar increases in the incidence of dehydration and DKA in T2DM patients treated with SGLT2 inhibitors</w:t>
      </w:r>
      <w:r>
        <w:rPr>
          <w:sz w:val="20"/>
          <w:szCs w:val="20"/>
        </w:rPr>
        <w:t xml:space="preserve"> </w:t>
      </w:r>
      <w:r>
        <w:rPr>
          <w:sz w:val="20"/>
          <w:szCs w:val="20"/>
          <w:vertAlign w:val="superscript"/>
        </w:rPr>
        <w:t>[20]</w:t>
      </w:r>
      <w:r>
        <w:rPr>
          <w:sz w:val="20"/>
          <w:szCs w:val="20"/>
        </w:rPr>
        <w:t>. However, despite these adverse effects, the overall rate of serious adverse events was low, and there were no significant differences between the treatment groups in our study.</w:t>
      </w:r>
    </w:p>
    <w:p>
      <w:pPr>
        <w:pStyle w:val="style0"/>
        <w:spacing w:after="100"/>
        <w:ind w:firstLine="0"/>
        <w:rPr>
          <w:b/>
          <w:bCs/>
          <w:sz w:val="20"/>
          <w:szCs w:val="20"/>
        </w:rPr>
      </w:pPr>
    </w:p>
    <w:p>
      <w:pPr>
        <w:pStyle w:val="style179"/>
        <w:numPr>
          <w:ilvl w:val="0"/>
          <w:numId w:val="1"/>
        </w:numPr>
        <w:spacing w:after="100"/>
        <w:ind w:left="360" w:firstLine="0"/>
        <w:jc w:val="center"/>
        <w:rPr>
          <w:b/>
          <w:bCs/>
          <w:sz w:val="22"/>
        </w:rPr>
      </w:pPr>
      <w:r>
        <w:rPr>
          <w:b/>
          <w:bCs/>
          <w:sz w:val="22"/>
        </w:rPr>
        <w:t>CONCLUSION</w:t>
      </w:r>
    </w:p>
    <w:p>
      <w:pPr>
        <w:pStyle w:val="style0"/>
        <w:spacing w:after="100"/>
        <w:rPr>
          <w:sz w:val="20"/>
          <w:szCs w:val="20"/>
        </w:rPr>
      </w:pPr>
      <w:r>
        <w:rPr>
          <w:sz w:val="20"/>
          <w:szCs w:val="20"/>
        </w:rPr>
        <w:t>Dapagliflozin</w:t>
      </w:r>
      <w:r>
        <w:rPr>
          <w:sz w:val="20"/>
          <w:szCs w:val="20"/>
        </w:rPr>
        <w:t xml:space="preserve"> significantly improved glycemic control, lipid profile, and hematological parameters in both T2DM patients with and without comorbidities. The T2DM only group showed better HbA1c reduction and more favorable lipid changes. Kidney function markers did not differ significantly between the groups. Adverse events, particularly dehydration and diabetic ketoacidosis, were more common in the T2DM with comorbidities group, suggesting the need for closer monitoring in these patients. Overall, </w:t>
      </w:r>
      <w:r>
        <w:rPr>
          <w:sz w:val="20"/>
          <w:szCs w:val="20"/>
        </w:rPr>
        <w:t>Dapagliflozin</w:t>
      </w:r>
      <w:r>
        <w:rPr>
          <w:sz w:val="20"/>
          <w:szCs w:val="20"/>
        </w:rPr>
        <w:t xml:space="preserve"> offers effective metabolic control in T2DM, though caution </w:t>
      </w:r>
      <w:r>
        <w:rPr>
          <w:sz w:val="20"/>
          <w:szCs w:val="20"/>
        </w:rPr>
        <w:t>is needed</w:t>
      </w:r>
      <w:r>
        <w:rPr>
          <w:sz w:val="20"/>
          <w:szCs w:val="20"/>
        </w:rPr>
        <w:t xml:space="preserve"> in those with additional comorbidities.</w:t>
      </w:r>
    </w:p>
    <w:p>
      <w:pPr>
        <w:pStyle w:val="style0"/>
        <w:spacing w:after="100"/>
        <w:ind w:firstLine="0"/>
        <w:rPr>
          <w:sz w:val="20"/>
          <w:szCs w:val="20"/>
        </w:rPr>
      </w:pPr>
    </w:p>
    <w:p>
      <w:pPr>
        <w:pStyle w:val="style179"/>
        <w:numPr>
          <w:ilvl w:val="0"/>
          <w:numId w:val="1"/>
        </w:numPr>
        <w:spacing w:after="100"/>
        <w:jc w:val="center"/>
        <w:rPr>
          <w:b/>
          <w:bCs/>
          <w:sz w:val="22"/>
        </w:rPr>
      </w:pPr>
      <w:r>
        <w:rPr>
          <w:b/>
          <w:bCs/>
          <w:sz w:val="22"/>
        </w:rPr>
        <w:t>AKNOWLAGEMENT</w:t>
      </w:r>
    </w:p>
    <w:p>
      <w:pPr>
        <w:pStyle w:val="style0"/>
        <w:spacing w:after="100"/>
        <w:rPr>
          <w:sz w:val="20"/>
          <w:szCs w:val="20"/>
        </w:rPr>
      </w:pPr>
    </w:p>
    <w:p>
      <w:pPr>
        <w:pStyle w:val="style0"/>
        <w:spacing w:after="100"/>
        <w:ind w:firstLine="0"/>
        <w:rPr>
          <w:sz w:val="20"/>
          <w:szCs w:val="20"/>
        </w:rPr>
      </w:pPr>
    </w:p>
    <w:p>
      <w:pPr>
        <w:pStyle w:val="style0"/>
        <w:spacing w:after="100"/>
        <w:ind w:firstLine="0"/>
        <w:rPr>
          <w:b/>
          <w:bCs/>
          <w:sz w:val="20"/>
          <w:szCs w:val="20"/>
        </w:rPr>
      </w:pPr>
      <w:r>
        <w:rPr>
          <w:b/>
          <w:bCs/>
          <w:sz w:val="20"/>
          <w:szCs w:val="20"/>
        </w:rPr>
        <w:t>Abbreviations</w:t>
      </w:r>
    </w:p>
    <w:p>
      <w:pPr>
        <w:pStyle w:val="style0"/>
        <w:spacing w:after="100"/>
        <w:ind w:firstLine="0"/>
        <w:rPr>
          <w:sz w:val="20"/>
          <w:szCs w:val="20"/>
        </w:rPr>
      </w:pPr>
      <w:r>
        <w:rPr>
          <w:sz w:val="20"/>
          <w:szCs w:val="20"/>
        </w:rPr>
        <w:t xml:space="preserve">DM: Diabetes mellitus; T2DM: Type 2 diabetes mellitus; SGLT2: Sodium-Glucose Co-Transporter 2; </w:t>
      </w:r>
      <w:r>
        <w:rPr>
          <w:sz w:val="20"/>
          <w:szCs w:val="20"/>
        </w:rPr>
        <w:t>Hb</w:t>
      </w:r>
      <w:r>
        <w:rPr>
          <w:sz w:val="20"/>
          <w:szCs w:val="20"/>
        </w:rPr>
        <w:t xml:space="preserve">: Hemoglobin; WBC: White blood cell; HbA1c: Hemoglobin A1c; BMI: Body Mass Index; </w:t>
      </w:r>
      <w:r>
        <w:rPr>
          <w:sz w:val="20"/>
          <w:szCs w:val="20"/>
        </w:rPr>
        <w:t>eGFR</w:t>
      </w:r>
      <w:r>
        <w:rPr>
          <w:sz w:val="20"/>
          <w:szCs w:val="20"/>
        </w:rPr>
        <w:t xml:space="preserve">: Estimated glomerular filtration rate; ACR: Albumin-to-creatinine ratio; </w:t>
      </w:r>
      <w:r>
        <w:rPr>
          <w:sz w:val="20"/>
          <w:szCs w:val="20"/>
        </w:rPr>
        <w:t>eGFR</w:t>
      </w:r>
      <w:r>
        <w:rPr>
          <w:sz w:val="20"/>
          <w:szCs w:val="20"/>
        </w:rPr>
        <w:t xml:space="preserve">: Estimated glomerular filtration rate; SPSS: Statistical Package for the Social Sciences; SD: Standard deviation; p: P-value; DKD: Diabetic kidney disease; DPP-4: </w:t>
      </w:r>
      <w:r>
        <w:rPr>
          <w:sz w:val="20"/>
          <w:szCs w:val="20"/>
        </w:rPr>
        <w:t>Dipeptidyl</w:t>
      </w:r>
      <w:r>
        <w:rPr>
          <w:sz w:val="20"/>
          <w:szCs w:val="20"/>
        </w:rPr>
        <w:t xml:space="preserve"> peptidase-4; EPO: Erythropoietin; </w:t>
      </w:r>
      <w:r>
        <w:rPr>
          <w:sz w:val="20"/>
          <w:szCs w:val="20"/>
        </w:rPr>
        <w:t>HFrEF</w:t>
      </w:r>
      <w:r>
        <w:rPr>
          <w:sz w:val="20"/>
          <w:szCs w:val="20"/>
        </w:rPr>
        <w:t xml:space="preserve">: Heart failure with reduced ejection fraction; CREDENCE: Chronic Kidney Disease and Diabetes Study; DAPA-HF: </w:t>
      </w:r>
      <w:r>
        <w:rPr>
          <w:sz w:val="20"/>
          <w:szCs w:val="20"/>
        </w:rPr>
        <w:t>Dapagliflozin</w:t>
      </w:r>
      <w:r>
        <w:rPr>
          <w:sz w:val="20"/>
          <w:szCs w:val="20"/>
        </w:rPr>
        <w:t xml:space="preserve"> and Prevention of Heart Failure Study; DKA: Diabetic ketoacidosis.</w:t>
      </w:r>
    </w:p>
    <w:p>
      <w:pPr>
        <w:pStyle w:val="style0"/>
        <w:spacing w:after="100"/>
        <w:ind w:firstLine="0"/>
        <w:rPr>
          <w:sz w:val="20"/>
          <w:szCs w:val="20"/>
        </w:rPr>
      </w:pPr>
    </w:p>
    <w:p>
      <w:pPr>
        <w:pStyle w:val="style179"/>
        <w:numPr>
          <w:ilvl w:val="0"/>
          <w:numId w:val="1"/>
        </w:numPr>
        <w:spacing w:lineRule="auto" w:line="240"/>
        <w:ind w:left="270" w:firstLine="0"/>
        <w:jc w:val="center"/>
        <w:contextualSpacing w:val="false"/>
        <w:rPr>
          <w:b/>
          <w:bCs/>
          <w:sz w:val="22"/>
        </w:rPr>
      </w:pPr>
      <w:r>
        <w:rPr>
          <w:b/>
          <w:bCs/>
          <w:sz w:val="22"/>
        </w:rPr>
        <w:t>References</w:t>
      </w:r>
    </w:p>
    <w:p>
      <w:pPr>
        <w:pStyle w:val="style179"/>
        <w:numPr>
          <w:ilvl w:val="0"/>
          <w:numId w:val="9"/>
        </w:numPr>
        <w:spacing w:lineRule="auto" w:line="240"/>
        <w:rPr>
          <w:sz w:val="20"/>
          <w:szCs w:val="20"/>
        </w:rPr>
      </w:pPr>
      <w:r>
        <w:rPr>
          <w:sz w:val="20"/>
          <w:szCs w:val="20"/>
        </w:rPr>
        <w:t xml:space="preserve">World Health Organization, Report of the first meeting of the WHO global diabetes compact forum: virtual meeting, 10-11 November 2021, World Health Organization, 2021, Available from: </w:t>
      </w:r>
      <w:r>
        <w:rPr/>
        <w:fldChar w:fldCharType="begin"/>
      </w:r>
      <w:r>
        <w:instrText xml:space="preserve"> HYPERLINK "https://www.who.int" \t "_new" </w:instrText>
      </w:r>
      <w:r>
        <w:rPr/>
        <w:fldChar w:fldCharType="separate"/>
      </w:r>
      <w:r>
        <w:rPr>
          <w:rStyle w:val="style85"/>
          <w:sz w:val="20"/>
          <w:szCs w:val="20"/>
        </w:rPr>
        <w:t>https://www.who.int</w:t>
      </w:r>
      <w:r>
        <w:rPr/>
        <w:fldChar w:fldCharType="end"/>
      </w:r>
    </w:p>
    <w:p>
      <w:pPr>
        <w:pStyle w:val="style179"/>
        <w:numPr>
          <w:ilvl w:val="0"/>
          <w:numId w:val="9"/>
        </w:numPr>
        <w:spacing w:lineRule="auto" w:line="240"/>
        <w:rPr>
          <w:sz w:val="20"/>
          <w:szCs w:val="20"/>
        </w:rPr>
      </w:pPr>
      <w:r>
        <w:rPr>
          <w:sz w:val="20"/>
          <w:szCs w:val="20"/>
        </w:rPr>
        <w:t xml:space="preserve">V. </w:t>
      </w:r>
      <w:r>
        <w:rPr>
          <w:sz w:val="20"/>
          <w:szCs w:val="20"/>
        </w:rPr>
        <w:t>Perkovic</w:t>
      </w:r>
      <w:r>
        <w:rPr>
          <w:sz w:val="20"/>
          <w:szCs w:val="20"/>
        </w:rPr>
        <w:t xml:space="preserve">, M.J. </w:t>
      </w:r>
      <w:r>
        <w:rPr>
          <w:sz w:val="20"/>
          <w:szCs w:val="20"/>
        </w:rPr>
        <w:t>Jardine</w:t>
      </w:r>
      <w:r>
        <w:rPr>
          <w:sz w:val="20"/>
          <w:szCs w:val="20"/>
        </w:rPr>
        <w:t xml:space="preserve">, B. Neal, S. </w:t>
      </w:r>
      <w:r>
        <w:rPr>
          <w:sz w:val="20"/>
          <w:szCs w:val="20"/>
        </w:rPr>
        <w:t>Bompoint</w:t>
      </w:r>
      <w:r>
        <w:rPr>
          <w:sz w:val="20"/>
          <w:szCs w:val="20"/>
        </w:rPr>
        <w:t xml:space="preserve">, H.J. Heerspink, D.M. </w:t>
      </w:r>
      <w:r>
        <w:rPr>
          <w:sz w:val="20"/>
          <w:szCs w:val="20"/>
        </w:rPr>
        <w:t>Charytan</w:t>
      </w:r>
      <w:r>
        <w:rPr>
          <w:sz w:val="20"/>
          <w:szCs w:val="20"/>
        </w:rPr>
        <w:t xml:space="preserve">, R. Edwards, R. Agarwal, G. </w:t>
      </w:r>
      <w:r>
        <w:rPr>
          <w:sz w:val="20"/>
          <w:szCs w:val="20"/>
        </w:rPr>
        <w:t>Bakris</w:t>
      </w:r>
      <w:r>
        <w:rPr>
          <w:sz w:val="20"/>
          <w:szCs w:val="20"/>
        </w:rPr>
        <w:t xml:space="preserve">, S. Bull, C.P. Cannon, </w:t>
      </w:r>
      <w:r>
        <w:rPr>
          <w:sz w:val="20"/>
          <w:szCs w:val="20"/>
        </w:rPr>
        <w:t>Canagliflozin</w:t>
      </w:r>
      <w:r>
        <w:rPr>
          <w:sz w:val="20"/>
          <w:szCs w:val="20"/>
        </w:rPr>
        <w:t xml:space="preserve"> and renal outcomes in type 2 diabetes and nephropathy, New England Journal of Medicine, 380(24), 2019, 2295-2306.</w:t>
      </w:r>
    </w:p>
    <w:p>
      <w:pPr>
        <w:pStyle w:val="style179"/>
        <w:numPr>
          <w:ilvl w:val="0"/>
          <w:numId w:val="9"/>
        </w:numPr>
        <w:spacing w:lineRule="auto" w:line="240"/>
        <w:rPr>
          <w:sz w:val="20"/>
          <w:szCs w:val="20"/>
        </w:rPr>
      </w:pPr>
      <w:r>
        <w:rPr>
          <w:sz w:val="20"/>
          <w:szCs w:val="20"/>
        </w:rPr>
        <w:t xml:space="preserve">V. </w:t>
      </w:r>
      <w:r>
        <w:rPr>
          <w:sz w:val="20"/>
          <w:szCs w:val="20"/>
        </w:rPr>
        <w:t>Vallon</w:t>
      </w:r>
      <w:r>
        <w:rPr>
          <w:sz w:val="20"/>
          <w:szCs w:val="20"/>
        </w:rPr>
        <w:t>, State-of-the-Art-Review: Mechanisms of Action of SGLT2 Inhibitors and Clinical Implications, American Journal of Hypertension, 37(11), 2024, 841-852.</w:t>
      </w:r>
    </w:p>
    <w:p>
      <w:pPr>
        <w:pStyle w:val="style179"/>
        <w:numPr>
          <w:ilvl w:val="0"/>
          <w:numId w:val="9"/>
        </w:numPr>
        <w:spacing w:lineRule="auto" w:line="240"/>
        <w:rPr>
          <w:sz w:val="20"/>
          <w:szCs w:val="20"/>
        </w:rPr>
      </w:pPr>
      <w:r>
        <w:rPr>
          <w:sz w:val="20"/>
          <w:szCs w:val="20"/>
        </w:rPr>
        <w:t xml:space="preserve">M. </w:t>
      </w:r>
      <w:r>
        <w:rPr>
          <w:sz w:val="20"/>
          <w:szCs w:val="20"/>
        </w:rPr>
        <w:t>Kanbay</w:t>
      </w:r>
      <w:r>
        <w:rPr>
          <w:sz w:val="20"/>
          <w:szCs w:val="20"/>
        </w:rPr>
        <w:t xml:space="preserve">, L. </w:t>
      </w:r>
      <w:r>
        <w:rPr>
          <w:sz w:val="20"/>
          <w:szCs w:val="20"/>
        </w:rPr>
        <w:t>Tapoi</w:t>
      </w:r>
      <w:r>
        <w:rPr>
          <w:sz w:val="20"/>
          <w:szCs w:val="20"/>
        </w:rPr>
        <w:t xml:space="preserve">, C. </w:t>
      </w:r>
      <w:r>
        <w:rPr>
          <w:sz w:val="20"/>
          <w:szCs w:val="20"/>
        </w:rPr>
        <w:t>Ureche</w:t>
      </w:r>
      <w:r>
        <w:rPr>
          <w:sz w:val="20"/>
          <w:szCs w:val="20"/>
        </w:rPr>
        <w:t xml:space="preserve">, C. </w:t>
      </w:r>
      <w:r>
        <w:rPr>
          <w:sz w:val="20"/>
          <w:szCs w:val="20"/>
        </w:rPr>
        <w:t>Tanriover</w:t>
      </w:r>
      <w:r>
        <w:rPr>
          <w:sz w:val="20"/>
          <w:szCs w:val="20"/>
        </w:rPr>
        <w:t xml:space="preserve">, E. </w:t>
      </w:r>
      <w:r>
        <w:rPr>
          <w:sz w:val="20"/>
          <w:szCs w:val="20"/>
        </w:rPr>
        <w:t>Cevik</w:t>
      </w:r>
      <w:r>
        <w:rPr>
          <w:sz w:val="20"/>
          <w:szCs w:val="20"/>
        </w:rPr>
        <w:t xml:space="preserve">, A. </w:t>
      </w:r>
      <w:r>
        <w:rPr>
          <w:sz w:val="20"/>
          <w:szCs w:val="20"/>
        </w:rPr>
        <w:t>Demiray</w:t>
      </w:r>
      <w:r>
        <w:rPr>
          <w:sz w:val="20"/>
          <w:szCs w:val="20"/>
        </w:rPr>
        <w:t xml:space="preserve">, B. </w:t>
      </w:r>
      <w:r>
        <w:rPr>
          <w:sz w:val="20"/>
          <w:szCs w:val="20"/>
        </w:rPr>
        <w:t>Afsar</w:t>
      </w:r>
      <w:r>
        <w:rPr>
          <w:sz w:val="20"/>
          <w:szCs w:val="20"/>
        </w:rPr>
        <w:t xml:space="preserve">, D.Z. Cherney, A. </w:t>
      </w:r>
      <w:r>
        <w:rPr>
          <w:sz w:val="20"/>
          <w:szCs w:val="20"/>
        </w:rPr>
        <w:t>Covic</w:t>
      </w:r>
      <w:r>
        <w:rPr>
          <w:sz w:val="20"/>
          <w:szCs w:val="20"/>
        </w:rPr>
        <w:t xml:space="preserve">, Effect of sodium–glucose </w:t>
      </w:r>
      <w:r>
        <w:rPr>
          <w:sz w:val="20"/>
          <w:szCs w:val="20"/>
        </w:rPr>
        <w:t>cotransporter</w:t>
      </w:r>
      <w:r>
        <w:rPr>
          <w:sz w:val="20"/>
          <w:szCs w:val="20"/>
        </w:rPr>
        <w:t xml:space="preserve"> 2 inhibitors on hemoglobin and hematocrit levels in type 2 diabetes: a systematic review and meta-analysis, International Urology and Nephrology, 54(2), 2022, 1-5.</w:t>
      </w:r>
    </w:p>
    <w:p>
      <w:pPr>
        <w:pStyle w:val="style179"/>
        <w:numPr>
          <w:ilvl w:val="0"/>
          <w:numId w:val="9"/>
        </w:numPr>
        <w:spacing w:lineRule="auto" w:line="240"/>
        <w:rPr>
          <w:sz w:val="20"/>
          <w:szCs w:val="20"/>
        </w:rPr>
      </w:pPr>
      <w:r>
        <w:rPr>
          <w:sz w:val="20"/>
          <w:szCs w:val="20"/>
        </w:rPr>
        <w:t xml:space="preserve">A.H. </w:t>
      </w:r>
      <w:r>
        <w:rPr>
          <w:sz w:val="20"/>
          <w:szCs w:val="20"/>
        </w:rPr>
        <w:t>Aljohani</w:t>
      </w:r>
      <w:r>
        <w:rPr>
          <w:sz w:val="20"/>
          <w:szCs w:val="20"/>
        </w:rPr>
        <w:t xml:space="preserve">, M.A. </w:t>
      </w:r>
      <w:r>
        <w:rPr>
          <w:sz w:val="20"/>
          <w:szCs w:val="20"/>
        </w:rPr>
        <w:t>Alrubyyi</w:t>
      </w:r>
      <w:r>
        <w:rPr>
          <w:sz w:val="20"/>
          <w:szCs w:val="20"/>
        </w:rPr>
        <w:t xml:space="preserve">, A.B. </w:t>
      </w:r>
      <w:r>
        <w:rPr>
          <w:sz w:val="20"/>
          <w:szCs w:val="20"/>
        </w:rPr>
        <w:t>Alharbi</w:t>
      </w:r>
      <w:r>
        <w:rPr>
          <w:sz w:val="20"/>
          <w:szCs w:val="20"/>
        </w:rPr>
        <w:t xml:space="preserve">, A.M. </w:t>
      </w:r>
      <w:r>
        <w:rPr>
          <w:sz w:val="20"/>
          <w:szCs w:val="20"/>
        </w:rPr>
        <w:t>Alomair</w:t>
      </w:r>
      <w:r>
        <w:rPr>
          <w:sz w:val="20"/>
          <w:szCs w:val="20"/>
        </w:rPr>
        <w:t xml:space="preserve">, A.A. </w:t>
      </w:r>
      <w:r>
        <w:rPr>
          <w:sz w:val="20"/>
          <w:szCs w:val="20"/>
        </w:rPr>
        <w:t>Alomair</w:t>
      </w:r>
      <w:r>
        <w:rPr>
          <w:sz w:val="20"/>
          <w:szCs w:val="20"/>
        </w:rPr>
        <w:t xml:space="preserve">, N.A. </w:t>
      </w:r>
      <w:r>
        <w:rPr>
          <w:sz w:val="20"/>
          <w:szCs w:val="20"/>
        </w:rPr>
        <w:t>Aldossari</w:t>
      </w:r>
      <w:r>
        <w:rPr>
          <w:sz w:val="20"/>
          <w:szCs w:val="20"/>
        </w:rPr>
        <w:t>, The relation between diabetes type II and anemia, The Egyptian Journal of Hospital Medicine, 70(4), 2018, 526-531.</w:t>
      </w:r>
    </w:p>
    <w:p>
      <w:pPr>
        <w:pStyle w:val="style179"/>
        <w:numPr>
          <w:ilvl w:val="0"/>
          <w:numId w:val="9"/>
        </w:numPr>
        <w:spacing w:lineRule="auto" w:line="240"/>
        <w:rPr>
          <w:sz w:val="20"/>
          <w:szCs w:val="20"/>
        </w:rPr>
      </w:pPr>
      <w:r>
        <w:rPr>
          <w:sz w:val="20"/>
          <w:szCs w:val="20"/>
        </w:rPr>
        <w:t>A.V. Harrison, F.R. Lorenzo, D.A. McClain, Iron and the pathophysiology of diabetes, Annual Review of Physiology, 85(1), 2023, 339-362.</w:t>
      </w:r>
    </w:p>
    <w:p>
      <w:pPr>
        <w:pStyle w:val="style179"/>
        <w:numPr>
          <w:ilvl w:val="0"/>
          <w:numId w:val="9"/>
        </w:numPr>
        <w:spacing w:lineRule="auto" w:line="240"/>
        <w:rPr>
          <w:sz w:val="20"/>
          <w:szCs w:val="20"/>
        </w:rPr>
      </w:pPr>
      <w:r>
        <w:rPr>
          <w:sz w:val="20"/>
          <w:szCs w:val="20"/>
        </w:rPr>
        <w:t>S. Kato, Y. Kato, Erythropoietin and Anemia in Diabetes: A Review, Diabetes Research and Clinical Practice, 171, 2021, 108570. DOI: 10.1016/j.diabres.2020.108570.</w:t>
      </w:r>
    </w:p>
    <w:p>
      <w:pPr>
        <w:pStyle w:val="style179"/>
        <w:numPr>
          <w:ilvl w:val="0"/>
          <w:numId w:val="9"/>
        </w:numPr>
        <w:spacing w:lineRule="auto" w:line="240"/>
        <w:rPr>
          <w:sz w:val="20"/>
          <w:szCs w:val="20"/>
        </w:rPr>
      </w:pPr>
      <w:r>
        <w:rPr>
          <w:sz w:val="20"/>
          <w:szCs w:val="20"/>
        </w:rPr>
        <w:t xml:space="preserve">F.N. </w:t>
      </w:r>
      <w:r>
        <w:rPr>
          <w:sz w:val="20"/>
          <w:szCs w:val="20"/>
        </w:rPr>
        <w:t>Jyotsna</w:t>
      </w:r>
      <w:r>
        <w:rPr>
          <w:sz w:val="20"/>
          <w:szCs w:val="20"/>
        </w:rPr>
        <w:t xml:space="preserve">, A. Ahmed, K. Kumar, P. Kaur, M.H. Chaudhary, S. Kumar, E. Khan, B. </w:t>
      </w:r>
      <w:r>
        <w:rPr>
          <w:sz w:val="20"/>
          <w:szCs w:val="20"/>
        </w:rPr>
        <w:t>Khanam</w:t>
      </w:r>
      <w:r>
        <w:rPr>
          <w:sz w:val="20"/>
          <w:szCs w:val="20"/>
        </w:rPr>
        <w:t xml:space="preserve">, S.U. Shah, G. </w:t>
      </w:r>
      <w:r>
        <w:rPr>
          <w:sz w:val="20"/>
          <w:szCs w:val="20"/>
        </w:rPr>
        <w:t>Varrassi</w:t>
      </w:r>
      <w:r>
        <w:rPr>
          <w:sz w:val="20"/>
          <w:szCs w:val="20"/>
        </w:rPr>
        <w:t xml:space="preserve">, M. Khatri, Exploring the complex connection between diabetes and cardiovascular disease: analyzing approaches to mitigate cardiovascular risk in patients with diabetes, </w:t>
      </w:r>
      <w:r>
        <w:rPr>
          <w:sz w:val="20"/>
          <w:szCs w:val="20"/>
        </w:rPr>
        <w:t>Cureus</w:t>
      </w:r>
      <w:r>
        <w:rPr>
          <w:sz w:val="20"/>
          <w:szCs w:val="20"/>
        </w:rPr>
        <w:t xml:space="preserve">, 15(8), 2023, Available from: </w:t>
      </w:r>
      <w:r>
        <w:rPr/>
        <w:fldChar w:fldCharType="begin"/>
      </w:r>
      <w:r>
        <w:instrText xml:space="preserve"> HYPERLINK "https://www.cureus.com" \t "_new" </w:instrText>
      </w:r>
      <w:r>
        <w:rPr/>
        <w:fldChar w:fldCharType="separate"/>
      </w:r>
      <w:r>
        <w:rPr>
          <w:rStyle w:val="style85"/>
          <w:sz w:val="20"/>
          <w:szCs w:val="20"/>
        </w:rPr>
        <w:t>https://www.cureus.com</w:t>
      </w:r>
      <w:r>
        <w:rPr/>
        <w:fldChar w:fldCharType="end"/>
      </w:r>
    </w:p>
    <w:p>
      <w:pPr>
        <w:pStyle w:val="style179"/>
        <w:numPr>
          <w:ilvl w:val="0"/>
          <w:numId w:val="9"/>
        </w:numPr>
        <w:spacing w:lineRule="auto" w:line="240"/>
        <w:rPr>
          <w:sz w:val="20"/>
          <w:szCs w:val="20"/>
        </w:rPr>
      </w:pPr>
      <w:r>
        <w:rPr>
          <w:sz w:val="20"/>
          <w:szCs w:val="20"/>
        </w:rPr>
        <w:t>Kautzky-Willer</w:t>
      </w:r>
      <w:r>
        <w:rPr>
          <w:sz w:val="20"/>
          <w:szCs w:val="20"/>
        </w:rPr>
        <w:t xml:space="preserve">, M. </w:t>
      </w:r>
      <w:r>
        <w:rPr>
          <w:sz w:val="20"/>
          <w:szCs w:val="20"/>
        </w:rPr>
        <w:t>Leutner</w:t>
      </w:r>
      <w:r>
        <w:rPr>
          <w:sz w:val="20"/>
          <w:szCs w:val="20"/>
        </w:rPr>
        <w:t xml:space="preserve">, J. </w:t>
      </w:r>
      <w:r>
        <w:rPr>
          <w:sz w:val="20"/>
          <w:szCs w:val="20"/>
        </w:rPr>
        <w:t>Harreiter</w:t>
      </w:r>
      <w:r>
        <w:rPr>
          <w:sz w:val="20"/>
          <w:szCs w:val="20"/>
        </w:rPr>
        <w:t xml:space="preserve">, Sex differences in type 2 diabetes, </w:t>
      </w:r>
      <w:r>
        <w:rPr>
          <w:sz w:val="20"/>
          <w:szCs w:val="20"/>
        </w:rPr>
        <w:t>Diabetologia</w:t>
      </w:r>
      <w:r>
        <w:rPr>
          <w:sz w:val="20"/>
          <w:szCs w:val="20"/>
        </w:rPr>
        <w:t>, 66(6), 2023, 986-1002.</w:t>
      </w:r>
    </w:p>
    <w:p>
      <w:pPr>
        <w:pStyle w:val="style179"/>
        <w:numPr>
          <w:ilvl w:val="0"/>
          <w:numId w:val="9"/>
        </w:numPr>
        <w:spacing w:lineRule="auto" w:line="240"/>
        <w:rPr>
          <w:sz w:val="20"/>
          <w:szCs w:val="20"/>
        </w:rPr>
      </w:pPr>
      <w:r>
        <w:rPr>
          <w:sz w:val="20"/>
          <w:szCs w:val="20"/>
        </w:rPr>
        <w:t xml:space="preserve">N. </w:t>
      </w:r>
      <w:r>
        <w:rPr>
          <w:sz w:val="20"/>
          <w:szCs w:val="20"/>
        </w:rPr>
        <w:t>Nanayakkara</w:t>
      </w:r>
      <w:r>
        <w:rPr>
          <w:sz w:val="20"/>
          <w:szCs w:val="20"/>
        </w:rPr>
        <w:t xml:space="preserve">, A.J. Curtis, S. </w:t>
      </w:r>
      <w:r>
        <w:rPr>
          <w:sz w:val="20"/>
          <w:szCs w:val="20"/>
        </w:rPr>
        <w:t>Heritier</w:t>
      </w:r>
      <w:r>
        <w:rPr>
          <w:sz w:val="20"/>
          <w:szCs w:val="20"/>
        </w:rPr>
        <w:t xml:space="preserve">, A.M. </w:t>
      </w:r>
      <w:r>
        <w:rPr>
          <w:sz w:val="20"/>
          <w:szCs w:val="20"/>
        </w:rPr>
        <w:t>Gadowski</w:t>
      </w:r>
      <w:r>
        <w:rPr>
          <w:sz w:val="20"/>
          <w:szCs w:val="20"/>
        </w:rPr>
        <w:t xml:space="preserve">, M.E. </w:t>
      </w:r>
      <w:r>
        <w:rPr>
          <w:sz w:val="20"/>
          <w:szCs w:val="20"/>
        </w:rPr>
        <w:t>Pavkov</w:t>
      </w:r>
      <w:r>
        <w:rPr>
          <w:sz w:val="20"/>
          <w:szCs w:val="20"/>
        </w:rPr>
        <w:t xml:space="preserve">, T. </w:t>
      </w:r>
      <w:r>
        <w:rPr>
          <w:sz w:val="20"/>
          <w:szCs w:val="20"/>
        </w:rPr>
        <w:t>Kenealy</w:t>
      </w:r>
      <w:r>
        <w:rPr>
          <w:sz w:val="20"/>
          <w:szCs w:val="20"/>
        </w:rPr>
        <w:t xml:space="preserve">, D.R. Owens, R.L. Thomas, S. Song, J. Wong, J.C. Chan, Impact of age at type 2 diabetes mellitus diagnosis on mortality and vascular complications: systematic review and meta-analyses, </w:t>
      </w:r>
      <w:r>
        <w:rPr>
          <w:sz w:val="20"/>
          <w:szCs w:val="20"/>
        </w:rPr>
        <w:t>Diabetologia</w:t>
      </w:r>
      <w:r>
        <w:rPr>
          <w:sz w:val="20"/>
          <w:szCs w:val="20"/>
        </w:rPr>
        <w:t>, 64, 2021, 275-287.</w:t>
      </w:r>
    </w:p>
    <w:p>
      <w:pPr>
        <w:pStyle w:val="style179"/>
        <w:numPr>
          <w:ilvl w:val="0"/>
          <w:numId w:val="9"/>
        </w:numPr>
        <w:spacing w:lineRule="auto" w:line="240"/>
        <w:rPr>
          <w:sz w:val="20"/>
          <w:szCs w:val="20"/>
        </w:rPr>
      </w:pPr>
      <w:r>
        <w:rPr>
          <w:sz w:val="20"/>
          <w:szCs w:val="20"/>
        </w:rPr>
        <w:t xml:space="preserve">H. </w:t>
      </w:r>
      <w:r>
        <w:rPr>
          <w:sz w:val="20"/>
          <w:szCs w:val="20"/>
        </w:rPr>
        <w:t>Ghanim</w:t>
      </w:r>
      <w:r>
        <w:rPr>
          <w:sz w:val="20"/>
          <w:szCs w:val="20"/>
        </w:rPr>
        <w:t xml:space="preserve">, S. </w:t>
      </w:r>
      <w:r>
        <w:rPr>
          <w:sz w:val="20"/>
          <w:szCs w:val="20"/>
        </w:rPr>
        <w:t>Abuaysheh</w:t>
      </w:r>
      <w:r>
        <w:rPr>
          <w:sz w:val="20"/>
          <w:szCs w:val="20"/>
        </w:rPr>
        <w:t xml:space="preserve">, J. </w:t>
      </w:r>
      <w:r>
        <w:rPr>
          <w:sz w:val="20"/>
          <w:szCs w:val="20"/>
        </w:rPr>
        <w:t>Hejna</w:t>
      </w:r>
      <w:r>
        <w:rPr>
          <w:sz w:val="20"/>
          <w:szCs w:val="20"/>
        </w:rPr>
        <w:t xml:space="preserve">, K. Green, M. </w:t>
      </w:r>
      <w:r>
        <w:rPr>
          <w:sz w:val="20"/>
          <w:szCs w:val="20"/>
        </w:rPr>
        <w:t>Batra</w:t>
      </w:r>
      <w:r>
        <w:rPr>
          <w:sz w:val="20"/>
          <w:szCs w:val="20"/>
        </w:rPr>
        <w:t xml:space="preserve">, A. </w:t>
      </w:r>
      <w:r>
        <w:rPr>
          <w:sz w:val="20"/>
          <w:szCs w:val="20"/>
        </w:rPr>
        <w:t>Makdissi</w:t>
      </w:r>
      <w:r>
        <w:rPr>
          <w:sz w:val="20"/>
          <w:szCs w:val="20"/>
        </w:rPr>
        <w:t xml:space="preserve">, A. </w:t>
      </w:r>
      <w:r>
        <w:rPr>
          <w:sz w:val="20"/>
          <w:szCs w:val="20"/>
        </w:rPr>
        <w:t>Chaudhuri</w:t>
      </w:r>
      <w:r>
        <w:rPr>
          <w:sz w:val="20"/>
          <w:szCs w:val="20"/>
        </w:rPr>
        <w:t xml:space="preserve">, P. </w:t>
      </w:r>
      <w:r>
        <w:rPr>
          <w:sz w:val="20"/>
          <w:szCs w:val="20"/>
        </w:rPr>
        <w:t>Dandona</w:t>
      </w:r>
      <w:r>
        <w:rPr>
          <w:sz w:val="20"/>
          <w:szCs w:val="20"/>
        </w:rPr>
        <w:t xml:space="preserve">, </w:t>
      </w:r>
      <w:r>
        <w:rPr>
          <w:sz w:val="20"/>
          <w:szCs w:val="20"/>
        </w:rPr>
        <w:t>Dapagliflozin</w:t>
      </w:r>
      <w:r>
        <w:rPr>
          <w:sz w:val="20"/>
          <w:szCs w:val="20"/>
        </w:rPr>
        <w:t xml:space="preserve"> suppresses </w:t>
      </w:r>
      <w:r>
        <w:rPr>
          <w:sz w:val="20"/>
          <w:szCs w:val="20"/>
        </w:rPr>
        <w:t>hepcidin</w:t>
      </w:r>
      <w:r>
        <w:rPr>
          <w:sz w:val="20"/>
          <w:szCs w:val="20"/>
        </w:rPr>
        <w:t xml:space="preserve"> and increases erythropoiesis, The Journal of Clinical Endocrinology &amp; Metabolism, 105(4), 2020, e1056-e1063.</w:t>
      </w:r>
    </w:p>
    <w:p>
      <w:pPr>
        <w:pStyle w:val="style179"/>
        <w:numPr>
          <w:ilvl w:val="0"/>
          <w:numId w:val="9"/>
        </w:numPr>
        <w:spacing w:lineRule="auto" w:line="240"/>
        <w:rPr>
          <w:sz w:val="20"/>
          <w:szCs w:val="20"/>
        </w:rPr>
      </w:pPr>
      <w:r>
        <w:rPr>
          <w:sz w:val="20"/>
          <w:szCs w:val="20"/>
        </w:rPr>
        <w:t xml:space="preserve">T. Toyama, B.L. </w:t>
      </w:r>
      <w:r>
        <w:rPr>
          <w:sz w:val="20"/>
          <w:szCs w:val="20"/>
        </w:rPr>
        <w:t>Neuen</w:t>
      </w:r>
      <w:r>
        <w:rPr>
          <w:sz w:val="20"/>
          <w:szCs w:val="20"/>
        </w:rPr>
        <w:t xml:space="preserve">, M. Jun, T. </w:t>
      </w:r>
      <w:r>
        <w:rPr>
          <w:sz w:val="20"/>
          <w:szCs w:val="20"/>
        </w:rPr>
        <w:t>Ohkuma</w:t>
      </w:r>
      <w:r>
        <w:rPr>
          <w:sz w:val="20"/>
          <w:szCs w:val="20"/>
        </w:rPr>
        <w:t xml:space="preserve">, B. Neal, M.J. </w:t>
      </w:r>
      <w:r>
        <w:rPr>
          <w:sz w:val="20"/>
          <w:szCs w:val="20"/>
        </w:rPr>
        <w:t>Jardine</w:t>
      </w:r>
      <w:r>
        <w:rPr>
          <w:sz w:val="20"/>
          <w:szCs w:val="20"/>
        </w:rPr>
        <w:t xml:space="preserve">, H.L. Heerspink, M.G. Wong, T. </w:t>
      </w:r>
      <w:r>
        <w:rPr>
          <w:sz w:val="20"/>
          <w:szCs w:val="20"/>
        </w:rPr>
        <w:t>Ninomiya</w:t>
      </w:r>
      <w:r>
        <w:rPr>
          <w:sz w:val="20"/>
          <w:szCs w:val="20"/>
        </w:rPr>
        <w:t xml:space="preserve">, T. Wada, V. </w:t>
      </w:r>
      <w:r>
        <w:rPr>
          <w:sz w:val="20"/>
          <w:szCs w:val="20"/>
        </w:rPr>
        <w:t>Perkovic</w:t>
      </w:r>
      <w:r>
        <w:rPr>
          <w:sz w:val="20"/>
          <w:szCs w:val="20"/>
        </w:rPr>
        <w:t>, Effect of SGLT2 inhibitors on cardiovascular, renal and safety outcomes in patients with type 2 diabetes mellitus and chronic kidney disease: a systematic review and meta</w:t>
      </w:r>
      <w:r>
        <w:rPr>
          <w:rFonts w:ascii="Cambria Math" w:cs="Cambria Math" w:hAnsi="Cambria Math"/>
          <w:sz w:val="20"/>
          <w:szCs w:val="20"/>
        </w:rPr>
        <w:t>‐</w:t>
      </w:r>
      <w:r>
        <w:rPr>
          <w:sz w:val="20"/>
          <w:szCs w:val="20"/>
        </w:rPr>
        <w:t>analysis, Diabetes, Obesity and Metabolism, 21(5), 2019, 1237-1250.</w:t>
      </w:r>
    </w:p>
    <w:p>
      <w:pPr>
        <w:pStyle w:val="style179"/>
        <w:numPr>
          <w:ilvl w:val="0"/>
          <w:numId w:val="9"/>
        </w:numPr>
        <w:spacing w:lineRule="auto" w:line="240"/>
        <w:rPr>
          <w:sz w:val="20"/>
          <w:szCs w:val="20"/>
        </w:rPr>
      </w:pPr>
      <w:r>
        <w:rPr>
          <w:sz w:val="20"/>
          <w:szCs w:val="20"/>
        </w:rPr>
        <w:t xml:space="preserve">E. </w:t>
      </w:r>
      <w:r>
        <w:rPr>
          <w:sz w:val="20"/>
          <w:szCs w:val="20"/>
        </w:rPr>
        <w:t>D’Andrea</w:t>
      </w:r>
      <w:r>
        <w:rPr>
          <w:sz w:val="20"/>
          <w:szCs w:val="20"/>
        </w:rPr>
        <w:t xml:space="preserve">, D.J. Wexler, S.C. Kim, J.M. Paik, E. Alt, E. </w:t>
      </w:r>
      <w:r>
        <w:rPr>
          <w:sz w:val="20"/>
          <w:szCs w:val="20"/>
        </w:rPr>
        <w:t>Patorno</w:t>
      </w:r>
      <w:r>
        <w:rPr>
          <w:sz w:val="20"/>
          <w:szCs w:val="20"/>
        </w:rPr>
        <w:t xml:space="preserve">, Comparing effectiveness and safety of SGLT2 inhibitors </w:t>
      </w:r>
      <w:r>
        <w:rPr>
          <w:sz w:val="20"/>
          <w:szCs w:val="20"/>
        </w:rPr>
        <w:t>vs</w:t>
      </w:r>
      <w:r>
        <w:rPr>
          <w:sz w:val="20"/>
          <w:szCs w:val="20"/>
        </w:rPr>
        <w:t xml:space="preserve"> DPP-4 inhibitors in patients with type 2 diabetes and varying baseline HbA1c levels, JAMA Internal Medicine, 183(3), 2023, 242-254.</w:t>
      </w:r>
    </w:p>
    <w:p>
      <w:pPr>
        <w:pStyle w:val="style179"/>
        <w:numPr>
          <w:ilvl w:val="0"/>
          <w:numId w:val="9"/>
        </w:numPr>
        <w:spacing w:lineRule="auto" w:line="240"/>
        <w:rPr>
          <w:sz w:val="20"/>
          <w:szCs w:val="20"/>
        </w:rPr>
      </w:pPr>
      <w:r>
        <w:rPr>
          <w:sz w:val="20"/>
          <w:szCs w:val="20"/>
        </w:rPr>
        <w:t xml:space="preserve">N. Yoshida, K. </w:t>
      </w:r>
      <w:r>
        <w:rPr>
          <w:sz w:val="20"/>
          <w:szCs w:val="20"/>
        </w:rPr>
        <w:t>Hanai</w:t>
      </w:r>
      <w:r>
        <w:rPr>
          <w:sz w:val="20"/>
          <w:szCs w:val="20"/>
        </w:rPr>
        <w:t xml:space="preserve">, T. </w:t>
      </w:r>
      <w:r>
        <w:rPr>
          <w:sz w:val="20"/>
          <w:szCs w:val="20"/>
        </w:rPr>
        <w:t>Babazono</w:t>
      </w:r>
      <w:r>
        <w:rPr>
          <w:sz w:val="20"/>
          <w:szCs w:val="20"/>
        </w:rPr>
        <w:t xml:space="preserve">, Comparative effects of sodium–glucose </w:t>
      </w:r>
      <w:r>
        <w:rPr>
          <w:sz w:val="20"/>
          <w:szCs w:val="20"/>
        </w:rPr>
        <w:t>cotransporter</w:t>
      </w:r>
      <w:r>
        <w:rPr>
          <w:sz w:val="20"/>
          <w:szCs w:val="20"/>
        </w:rPr>
        <w:t xml:space="preserve"> 2 inhibitors versus </w:t>
      </w:r>
      <w:r>
        <w:rPr>
          <w:sz w:val="20"/>
          <w:szCs w:val="20"/>
        </w:rPr>
        <w:t>dipeptidyl</w:t>
      </w:r>
      <w:r>
        <w:rPr>
          <w:sz w:val="20"/>
          <w:szCs w:val="20"/>
        </w:rPr>
        <w:t xml:space="preserve"> peptidase-4 inhibitors on kidney function decline in Japanese individuals with type 2 diabetes, Clinical and Experimental Nephrology, 28(4), 2024, 1-8.</w:t>
      </w:r>
    </w:p>
    <w:p>
      <w:pPr>
        <w:pStyle w:val="style179"/>
        <w:numPr>
          <w:ilvl w:val="0"/>
          <w:numId w:val="9"/>
        </w:numPr>
        <w:spacing w:lineRule="auto" w:line="240"/>
        <w:rPr>
          <w:sz w:val="20"/>
          <w:szCs w:val="20"/>
        </w:rPr>
      </w:pPr>
      <w:r>
        <w:rPr>
          <w:sz w:val="20"/>
          <w:szCs w:val="20"/>
        </w:rPr>
        <w:t xml:space="preserve">R.A. </w:t>
      </w:r>
      <w:r>
        <w:rPr>
          <w:sz w:val="20"/>
          <w:szCs w:val="20"/>
        </w:rPr>
        <w:t>DeFronzo</w:t>
      </w:r>
      <w:r>
        <w:rPr>
          <w:sz w:val="20"/>
          <w:szCs w:val="20"/>
        </w:rPr>
        <w:t xml:space="preserve">, W.B. Reeves, A.S. </w:t>
      </w:r>
      <w:r>
        <w:rPr>
          <w:sz w:val="20"/>
          <w:szCs w:val="20"/>
        </w:rPr>
        <w:t>Awad</w:t>
      </w:r>
      <w:r>
        <w:rPr>
          <w:sz w:val="20"/>
          <w:szCs w:val="20"/>
        </w:rPr>
        <w:t>, Pathophysiology of diabetic kidney disease: impact of SGLT2 inhibitors, Nature Reviews Nephrology, 17(5), 2021, 319-334.</w:t>
      </w:r>
    </w:p>
    <w:p>
      <w:pPr>
        <w:pStyle w:val="style179"/>
        <w:numPr>
          <w:ilvl w:val="0"/>
          <w:numId w:val="9"/>
        </w:numPr>
        <w:spacing w:lineRule="auto" w:line="240"/>
        <w:rPr>
          <w:sz w:val="20"/>
          <w:szCs w:val="20"/>
        </w:rPr>
      </w:pPr>
      <w:r>
        <w:rPr>
          <w:sz w:val="20"/>
          <w:szCs w:val="20"/>
        </w:rPr>
        <w:t xml:space="preserve">J.J. McMurray, S.D. Solomon, S.E. </w:t>
      </w:r>
      <w:r>
        <w:rPr>
          <w:sz w:val="20"/>
          <w:szCs w:val="20"/>
        </w:rPr>
        <w:t>Inzucchi</w:t>
      </w:r>
      <w:r>
        <w:rPr>
          <w:sz w:val="20"/>
          <w:szCs w:val="20"/>
        </w:rPr>
        <w:t xml:space="preserve">, L. </w:t>
      </w:r>
      <w:r>
        <w:rPr>
          <w:sz w:val="20"/>
          <w:szCs w:val="20"/>
        </w:rPr>
        <w:t>Køber</w:t>
      </w:r>
      <w:r>
        <w:rPr>
          <w:sz w:val="20"/>
          <w:szCs w:val="20"/>
        </w:rPr>
        <w:t xml:space="preserve">, N.M. </w:t>
      </w:r>
      <w:r>
        <w:rPr>
          <w:sz w:val="20"/>
          <w:szCs w:val="20"/>
        </w:rPr>
        <w:t>Kosiborod</w:t>
      </w:r>
      <w:r>
        <w:rPr>
          <w:sz w:val="20"/>
          <w:szCs w:val="20"/>
        </w:rPr>
        <w:t xml:space="preserve">, F.A. Martinez, P. </w:t>
      </w:r>
      <w:r>
        <w:rPr>
          <w:sz w:val="20"/>
          <w:szCs w:val="20"/>
        </w:rPr>
        <w:t>Ponikowski</w:t>
      </w:r>
      <w:r>
        <w:rPr>
          <w:sz w:val="20"/>
          <w:szCs w:val="20"/>
        </w:rPr>
        <w:t xml:space="preserve">, M.S. </w:t>
      </w:r>
      <w:r>
        <w:rPr>
          <w:sz w:val="20"/>
          <w:szCs w:val="20"/>
        </w:rPr>
        <w:t>Sabatine</w:t>
      </w:r>
      <w:r>
        <w:rPr>
          <w:sz w:val="20"/>
          <w:szCs w:val="20"/>
        </w:rPr>
        <w:t xml:space="preserve">, I.S. </w:t>
      </w:r>
      <w:r>
        <w:rPr>
          <w:sz w:val="20"/>
          <w:szCs w:val="20"/>
        </w:rPr>
        <w:t>Anand</w:t>
      </w:r>
      <w:r>
        <w:rPr>
          <w:sz w:val="20"/>
          <w:szCs w:val="20"/>
        </w:rPr>
        <w:t xml:space="preserve">, J. </w:t>
      </w:r>
      <w:r>
        <w:rPr>
          <w:sz w:val="20"/>
          <w:szCs w:val="20"/>
        </w:rPr>
        <w:t>Bělohlávek</w:t>
      </w:r>
      <w:r>
        <w:rPr>
          <w:sz w:val="20"/>
          <w:szCs w:val="20"/>
        </w:rPr>
        <w:t xml:space="preserve">, M. </w:t>
      </w:r>
      <w:r>
        <w:rPr>
          <w:sz w:val="20"/>
          <w:szCs w:val="20"/>
        </w:rPr>
        <w:t>Böhm</w:t>
      </w:r>
      <w:r>
        <w:rPr>
          <w:sz w:val="20"/>
          <w:szCs w:val="20"/>
        </w:rPr>
        <w:t xml:space="preserve">, </w:t>
      </w:r>
      <w:r>
        <w:rPr>
          <w:sz w:val="20"/>
          <w:szCs w:val="20"/>
        </w:rPr>
        <w:t>Dapagliflozin</w:t>
      </w:r>
      <w:r>
        <w:rPr>
          <w:sz w:val="20"/>
          <w:szCs w:val="20"/>
        </w:rPr>
        <w:t xml:space="preserve"> in patients with heart failure and reduced ejection fraction, New England Journal of Medicine, 381(21), 2019, 1995-2008.</w:t>
      </w:r>
    </w:p>
    <w:p>
      <w:pPr>
        <w:pStyle w:val="style179"/>
        <w:numPr>
          <w:ilvl w:val="0"/>
          <w:numId w:val="9"/>
        </w:numPr>
        <w:spacing w:lineRule="auto" w:line="240"/>
        <w:rPr>
          <w:sz w:val="20"/>
          <w:szCs w:val="20"/>
        </w:rPr>
      </w:pPr>
      <w:r>
        <w:rPr>
          <w:sz w:val="20"/>
          <w:szCs w:val="20"/>
        </w:rPr>
        <w:t xml:space="preserve">V. </w:t>
      </w:r>
      <w:r>
        <w:rPr>
          <w:sz w:val="20"/>
          <w:szCs w:val="20"/>
        </w:rPr>
        <w:t>Perkovic</w:t>
      </w:r>
      <w:r>
        <w:rPr>
          <w:sz w:val="20"/>
          <w:szCs w:val="20"/>
        </w:rPr>
        <w:t xml:space="preserve">, M.J. </w:t>
      </w:r>
      <w:r>
        <w:rPr>
          <w:sz w:val="20"/>
          <w:szCs w:val="20"/>
        </w:rPr>
        <w:t>Jardine</w:t>
      </w:r>
      <w:r>
        <w:rPr>
          <w:sz w:val="20"/>
          <w:szCs w:val="20"/>
        </w:rPr>
        <w:t xml:space="preserve">, B. Neal, S. </w:t>
      </w:r>
      <w:r>
        <w:rPr>
          <w:sz w:val="20"/>
          <w:szCs w:val="20"/>
        </w:rPr>
        <w:t>Bompoint</w:t>
      </w:r>
      <w:r>
        <w:rPr>
          <w:sz w:val="20"/>
          <w:szCs w:val="20"/>
        </w:rPr>
        <w:t xml:space="preserve">, H.J. Heerspink, D.M. </w:t>
      </w:r>
      <w:r>
        <w:rPr>
          <w:sz w:val="20"/>
          <w:szCs w:val="20"/>
        </w:rPr>
        <w:t>Charytan</w:t>
      </w:r>
      <w:r>
        <w:rPr>
          <w:sz w:val="20"/>
          <w:szCs w:val="20"/>
        </w:rPr>
        <w:t xml:space="preserve">, R. Edwards, R. Agarwal, G. </w:t>
      </w:r>
      <w:r>
        <w:rPr>
          <w:sz w:val="20"/>
          <w:szCs w:val="20"/>
        </w:rPr>
        <w:t>Bakris</w:t>
      </w:r>
      <w:r>
        <w:rPr>
          <w:sz w:val="20"/>
          <w:szCs w:val="20"/>
        </w:rPr>
        <w:t xml:space="preserve">, S. Bull, C.P. Cannon, </w:t>
      </w:r>
      <w:r>
        <w:rPr>
          <w:sz w:val="20"/>
          <w:szCs w:val="20"/>
        </w:rPr>
        <w:t>Canagliflozin</w:t>
      </w:r>
      <w:r>
        <w:rPr>
          <w:sz w:val="20"/>
          <w:szCs w:val="20"/>
        </w:rPr>
        <w:t xml:space="preserve"> and renal outcomes in type 2 diabetes and nephropathy, New England Journal of Medicine, 380(24), 2019, 2295-2306.</w:t>
      </w:r>
    </w:p>
    <w:p>
      <w:pPr>
        <w:pStyle w:val="style179"/>
        <w:numPr>
          <w:ilvl w:val="0"/>
          <w:numId w:val="9"/>
        </w:numPr>
        <w:spacing w:lineRule="auto" w:line="240"/>
        <w:rPr>
          <w:sz w:val="20"/>
          <w:szCs w:val="20"/>
        </w:rPr>
      </w:pPr>
      <w:r>
        <w:rPr>
          <w:sz w:val="20"/>
          <w:szCs w:val="20"/>
        </w:rPr>
        <w:t>T. Tat, C.P. Forest, The role of SGLT2 inhibitors in managing type 2 diabetes, JAAPA, 31(6), 2018, 35-40.</w:t>
      </w:r>
    </w:p>
    <w:p>
      <w:pPr>
        <w:pStyle w:val="style179"/>
        <w:numPr>
          <w:ilvl w:val="0"/>
          <w:numId w:val="9"/>
        </w:numPr>
        <w:spacing w:lineRule="auto" w:line="240"/>
        <w:rPr>
          <w:sz w:val="20"/>
          <w:szCs w:val="20"/>
        </w:rPr>
      </w:pPr>
      <w:r>
        <w:rPr>
          <w:sz w:val="20"/>
          <w:szCs w:val="20"/>
        </w:rPr>
        <w:t xml:space="preserve">C.Y. </w:t>
      </w:r>
      <w:r>
        <w:rPr>
          <w:sz w:val="20"/>
          <w:szCs w:val="20"/>
        </w:rPr>
        <w:t>Zou</w:t>
      </w:r>
      <w:r>
        <w:rPr>
          <w:sz w:val="20"/>
          <w:szCs w:val="20"/>
        </w:rPr>
        <w:t>, X.K. Liu, Y.Q. Sang, B. Wang, J. Liang, Effects of SGLT2 inhibitors on cardiovascular outcomes and mortality in type 2 diabetes: A meta-analysis, Medicine, 98(49), 2019, e18245.</w:t>
      </w:r>
    </w:p>
    <w:p>
      <w:pPr>
        <w:pStyle w:val="style179"/>
        <w:numPr>
          <w:ilvl w:val="0"/>
          <w:numId w:val="9"/>
        </w:numPr>
        <w:spacing w:lineRule="auto" w:line="240"/>
        <w:rPr>
          <w:sz w:val="20"/>
          <w:szCs w:val="20"/>
        </w:rPr>
      </w:pPr>
      <w:r>
        <w:rPr>
          <w:sz w:val="20"/>
          <w:szCs w:val="20"/>
        </w:rPr>
        <w:t xml:space="preserve">Y.J. Op den Kamp, M. de </w:t>
      </w:r>
      <w:r>
        <w:rPr>
          <w:sz w:val="20"/>
          <w:szCs w:val="20"/>
        </w:rPr>
        <w:t>Ligt</w:t>
      </w:r>
      <w:r>
        <w:rPr>
          <w:sz w:val="20"/>
          <w:szCs w:val="20"/>
        </w:rPr>
        <w:t xml:space="preserve">, B. </w:t>
      </w:r>
      <w:r>
        <w:rPr>
          <w:sz w:val="20"/>
          <w:szCs w:val="20"/>
        </w:rPr>
        <w:t>Dautzenberg</w:t>
      </w:r>
      <w:r>
        <w:rPr>
          <w:sz w:val="20"/>
          <w:szCs w:val="20"/>
        </w:rPr>
        <w:t xml:space="preserve">, E. </w:t>
      </w:r>
      <w:r>
        <w:rPr>
          <w:sz w:val="20"/>
          <w:szCs w:val="20"/>
        </w:rPr>
        <w:t>Kornips</w:t>
      </w:r>
      <w:r>
        <w:rPr>
          <w:sz w:val="20"/>
          <w:szCs w:val="20"/>
        </w:rPr>
        <w:t xml:space="preserve">, R. </w:t>
      </w:r>
      <w:r>
        <w:rPr>
          <w:sz w:val="20"/>
          <w:szCs w:val="20"/>
        </w:rPr>
        <w:t>Esterline</w:t>
      </w:r>
      <w:r>
        <w:rPr>
          <w:sz w:val="20"/>
          <w:szCs w:val="20"/>
        </w:rPr>
        <w:t xml:space="preserve">, M.K. </w:t>
      </w:r>
      <w:r>
        <w:rPr>
          <w:sz w:val="20"/>
          <w:szCs w:val="20"/>
        </w:rPr>
        <w:t>Hesselink</w:t>
      </w:r>
      <w:r>
        <w:rPr>
          <w:sz w:val="20"/>
          <w:szCs w:val="20"/>
        </w:rPr>
        <w:t xml:space="preserve">, J. </w:t>
      </w:r>
      <w:r>
        <w:rPr>
          <w:sz w:val="20"/>
          <w:szCs w:val="20"/>
        </w:rPr>
        <w:t>Hoeks</w:t>
      </w:r>
      <w:r>
        <w:rPr>
          <w:sz w:val="20"/>
          <w:szCs w:val="20"/>
        </w:rPr>
        <w:t xml:space="preserve">, V.B. </w:t>
      </w:r>
      <w:r>
        <w:rPr>
          <w:sz w:val="20"/>
          <w:szCs w:val="20"/>
        </w:rPr>
        <w:t>Schrauwen-Hinderling</w:t>
      </w:r>
      <w:r>
        <w:rPr>
          <w:sz w:val="20"/>
          <w:szCs w:val="20"/>
        </w:rPr>
        <w:t xml:space="preserve">, B. </w:t>
      </w:r>
      <w:r>
        <w:rPr>
          <w:sz w:val="20"/>
          <w:szCs w:val="20"/>
        </w:rPr>
        <w:t>Havekes</w:t>
      </w:r>
      <w:r>
        <w:rPr>
          <w:sz w:val="20"/>
          <w:szCs w:val="20"/>
        </w:rPr>
        <w:t xml:space="preserve">, J. </w:t>
      </w:r>
      <w:r>
        <w:rPr>
          <w:sz w:val="20"/>
          <w:szCs w:val="20"/>
        </w:rPr>
        <w:t>Oscarsson</w:t>
      </w:r>
      <w:r>
        <w:rPr>
          <w:sz w:val="20"/>
          <w:szCs w:val="20"/>
        </w:rPr>
        <w:t xml:space="preserve">, E. </w:t>
      </w:r>
      <w:r>
        <w:rPr>
          <w:sz w:val="20"/>
          <w:szCs w:val="20"/>
        </w:rPr>
        <w:t>Phielix</w:t>
      </w:r>
      <w:r>
        <w:rPr>
          <w:sz w:val="20"/>
          <w:szCs w:val="20"/>
        </w:rPr>
        <w:t xml:space="preserve">, Effects of the SGLT2 inhibitor </w:t>
      </w:r>
      <w:r>
        <w:rPr>
          <w:sz w:val="20"/>
          <w:szCs w:val="20"/>
        </w:rPr>
        <w:t>dapagliflozin</w:t>
      </w:r>
      <w:r>
        <w:rPr>
          <w:sz w:val="20"/>
          <w:szCs w:val="20"/>
        </w:rPr>
        <w:t xml:space="preserve"> on energy metabolism in patients with type 2 diabetes: a randomized, double-blind crossover trial, Diabetes Care, 44(6), 2021, 1334-1343.</w:t>
      </w:r>
    </w:p>
    <w:p>
      <w:pPr>
        <w:pStyle w:val="style0"/>
        <w:spacing w:lineRule="auto" w:line="240"/>
        <w:ind w:firstLine="0"/>
        <w:rPr>
          <w:sz w:val="20"/>
          <w:szCs w:val="20"/>
        </w:rPr>
      </w:pPr>
    </w:p>
    <w:p>
      <w:pPr>
        <w:pStyle w:val="style0"/>
        <w:spacing w:lineRule="auto" w:line="240"/>
        <w:ind w:firstLine="0"/>
        <w:rPr>
          <w:sz w:val="20"/>
          <w:szCs w:val="20"/>
        </w:rPr>
      </w:pPr>
    </w:p>
    <w:p>
      <w:pPr>
        <w:pStyle w:val="style0"/>
        <w:spacing w:lineRule="auto" w:line="240"/>
        <w:ind w:firstLine="0"/>
        <w:rPr>
          <w:sz w:val="20"/>
          <w:szCs w:val="20"/>
        </w:rPr>
      </w:pPr>
    </w:p>
    <w:sectPr>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Calibri Light">
    <w:altName w:val="Calibri Light"/>
    <w:panose1 w:val="020f0302020002030204"/>
    <w:charset w:val="00"/>
    <w:family w:val="swiss"/>
    <w:pitch w:val="variable"/>
    <w:sig w:usb0="A00002EF" w:usb1="4000207B" w:usb2="00000000" w:usb3="00000000" w:csb0="0000019F" w:csb1="00000000"/>
  </w:font>
  <w:font w:name="Cambria Math">
    <w:altName w:val="Cambria Math"/>
    <w:panose1 w:val="02040503050004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C13CA38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hybridMultilevel"/>
    <w:tmpl w:val="700ACA44"/>
    <w:lvl w:ilvl="0" w:tplc="0409000F">
      <w:start w:val="1"/>
      <w:numFmt w:val="decimal"/>
      <w:lvlText w:val="%1."/>
      <w:lvlJc w:val="left"/>
      <w:pPr>
        <w:ind w:left="360" w:hanging="360"/>
      </w:pPr>
    </w:lvl>
    <w:lvl w:ilvl="1" w:tplc="31F4BB3A">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000002"/>
    <w:multiLevelType w:val="multilevel"/>
    <w:tmpl w:val="EEDAB71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hybridMultilevel"/>
    <w:tmpl w:val="046874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4"/>
    <w:multiLevelType w:val="multilevel"/>
    <w:tmpl w:val="C33C870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5">
    <w:nsid w:val="00000005"/>
    <w:multiLevelType w:val="multilevel"/>
    <w:tmpl w:val="C0B4321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hybridMultilevel"/>
    <w:tmpl w:val="07967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multilevel"/>
    <w:tmpl w:val="5AD8876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multilevel"/>
    <w:tmpl w:val="26260372"/>
    <w:lvl w:ilvl="0">
      <w:start w:val="1"/>
      <w:numFmt w:val="decimal"/>
      <w:lvlText w:val="%1."/>
      <w:lvlJc w:val="left"/>
      <w:pPr>
        <w:tabs>
          <w:tab w:val="left" w:leader="none" w:pos="360"/>
        </w:tabs>
        <w:ind w:left="360" w:hanging="360"/>
      </w:pPr>
    </w:lvl>
    <w:lvl w:ilvl="1" w:tentative="1">
      <w:start w:val="1"/>
      <w:numFmt w:val="decimal"/>
      <w:lvlText w:val="%2."/>
      <w:lvlJc w:val="left"/>
      <w:pPr>
        <w:tabs>
          <w:tab w:val="left" w:leader="none" w:pos="1080"/>
        </w:tabs>
        <w:ind w:left="1080" w:hanging="360"/>
      </w:pPr>
    </w:lvl>
    <w:lvl w:ilvl="2" w:tentative="1">
      <w:start w:val="1"/>
      <w:numFmt w:val="decimal"/>
      <w:lvlText w:val="%3."/>
      <w:lvlJc w:val="left"/>
      <w:pPr>
        <w:tabs>
          <w:tab w:val="left" w:leader="none" w:pos="1800"/>
        </w:tabs>
        <w:ind w:left="1800" w:hanging="360"/>
      </w:pPr>
    </w:lvl>
    <w:lvl w:ilvl="3" w:tentative="1">
      <w:start w:val="1"/>
      <w:numFmt w:val="decimal"/>
      <w:lvlText w:val="%4."/>
      <w:lvlJc w:val="left"/>
      <w:pPr>
        <w:tabs>
          <w:tab w:val="left" w:leader="none" w:pos="2520"/>
        </w:tabs>
        <w:ind w:left="2520" w:hanging="360"/>
      </w:pPr>
    </w:lvl>
    <w:lvl w:ilvl="4" w:tentative="1">
      <w:start w:val="1"/>
      <w:numFmt w:val="decimal"/>
      <w:lvlText w:val="%5."/>
      <w:lvlJc w:val="left"/>
      <w:pPr>
        <w:tabs>
          <w:tab w:val="left" w:leader="none" w:pos="3240"/>
        </w:tabs>
        <w:ind w:left="3240" w:hanging="360"/>
      </w:pPr>
    </w:lvl>
    <w:lvl w:ilvl="5" w:tentative="1">
      <w:start w:val="1"/>
      <w:numFmt w:val="decimal"/>
      <w:lvlText w:val="%6."/>
      <w:lvlJc w:val="left"/>
      <w:pPr>
        <w:tabs>
          <w:tab w:val="left" w:leader="none" w:pos="3960"/>
        </w:tabs>
        <w:ind w:left="3960" w:hanging="360"/>
      </w:pPr>
    </w:lvl>
    <w:lvl w:ilvl="6" w:tentative="1">
      <w:start w:val="1"/>
      <w:numFmt w:val="decimal"/>
      <w:lvlText w:val="%7."/>
      <w:lvlJc w:val="left"/>
      <w:pPr>
        <w:tabs>
          <w:tab w:val="left" w:leader="none" w:pos="4680"/>
        </w:tabs>
        <w:ind w:left="4680" w:hanging="360"/>
      </w:pPr>
    </w:lvl>
    <w:lvl w:ilvl="7" w:tentative="1">
      <w:start w:val="1"/>
      <w:numFmt w:val="decimal"/>
      <w:lvlText w:val="%8."/>
      <w:lvlJc w:val="left"/>
      <w:pPr>
        <w:tabs>
          <w:tab w:val="left" w:leader="none" w:pos="5400"/>
        </w:tabs>
        <w:ind w:left="5400" w:hanging="360"/>
      </w:pPr>
    </w:lvl>
    <w:lvl w:ilvl="8" w:tentative="1">
      <w:start w:val="1"/>
      <w:numFmt w:val="decimal"/>
      <w:lvlText w:val="%9."/>
      <w:lvlJc w:val="left"/>
      <w:pPr>
        <w:tabs>
          <w:tab w:val="left" w:leader="none" w:pos="6120"/>
        </w:tabs>
        <w:ind w:left="6120" w:hanging="360"/>
      </w:pPr>
    </w:lvl>
  </w:abstractNum>
  <w:abstractNum w:abstractNumId="9">
    <w:nsid w:val="00000009"/>
    <w:multiLevelType w:val="multilevel"/>
    <w:tmpl w:val="7EA60954"/>
    <w:lvl w:ilvl="0">
      <w:start w:val="1"/>
      <w:numFmt w:val="upperRoman"/>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5"/>
  </w:num>
  <w:num w:numId="3">
    <w:abstractNumId w:val="2"/>
  </w:num>
  <w:num w:numId="4">
    <w:abstractNumId w:val="3"/>
  </w:num>
  <w:num w:numId="5">
    <w:abstractNumId w:val="8"/>
  </w:num>
  <w:num w:numId="6">
    <w:abstractNumId w:val="4"/>
  </w:num>
  <w:num w:numId="7">
    <w:abstractNumId w:val="0"/>
  </w:num>
  <w:num w:numId="8">
    <w:abstractNumId w:val="7"/>
  </w:num>
  <w:num w:numId="9">
    <w:abstractNumId w:val="1"/>
  </w:num>
  <w:num w:numId="10">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Arial" w:eastAsia="Calibri" w:hAnsi="Times New Roman"/>
        <w:sz w:val="24"/>
        <w:szCs w:val="22"/>
        <w:lang w:val="en-US" w:bidi="ar-SA" w:eastAsia="en-US"/>
      </w:rPr>
    </w:rPrDefault>
    <w:pPrDefault>
      <w:pPr>
        <w:spacing w:after="200" w:lineRule="auto" w:line="360"/>
        <w:ind w:firstLine="720"/>
        <w:jc w:val="both"/>
      </w:pPr>
    </w:pPrDefault>
  </w:docDefaults>
  <w:style w:type="paragraph" w:default="1" w:styleId="style0">
    <w:name w:val="Normal"/>
    <w:next w:val="style0"/>
    <w:qFormat/>
    <w:pPr/>
  </w:style>
  <w:style w:type="paragraph" w:styleId="style3">
    <w:name w:val="heading 3"/>
    <w:basedOn w:val="style0"/>
    <w:next w:val="style0"/>
    <w:link w:val="style4097"/>
    <w:qFormat/>
    <w:uiPriority w:val="9"/>
    <w:pPr>
      <w:keepNext/>
      <w:keepLines/>
      <w:spacing w:before="40" w:after="0"/>
      <w:outlineLvl w:val="2"/>
    </w:pPr>
    <w:rPr>
      <w:rFonts w:ascii="Calibri Light" w:cs="Times New Roman" w:eastAsia="宋体" w:hAnsi="Calibri Light"/>
      <w:color w:val="1f4d78"/>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character" w:customStyle="1" w:styleId="style4097">
    <w:name w:val="Heading 3 Char_9b937583-cfba-4bcf-98dd-81661cc3773a"/>
    <w:basedOn w:val="style65"/>
    <w:next w:val="style4097"/>
    <w:link w:val="style3"/>
    <w:uiPriority w:val="9"/>
    <w:rPr>
      <w:rFonts w:ascii="Calibri Light" w:cs="Times New Roman" w:eastAsia="宋体" w:hAnsi="Calibri Light"/>
      <w:color w:val="1f4d78"/>
      <w:szCs w:val="24"/>
    </w:r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Words>4742</Words>
  <Pages>12</Pages>
  <Characters>26605</Characters>
  <Application>WPS Office</Application>
  <DocSecurity>0</DocSecurity>
  <Paragraphs>421</Paragraphs>
  <ScaleCrop>false</ScaleCrop>
  <LinksUpToDate>false</LinksUpToDate>
  <CharactersWithSpaces>31025</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2024-12-05T21:28:00Z</dcterms:created>
  <dc:creator>BS</dc:creator>
  <lastModifiedBy>CPH2333</lastModifiedBy>
  <dcterms:modified xsi:type="dcterms:W3CDTF">2024-12-24T09:10:13Z</dcterms:modified>
  <revision>37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82940efcff43434ebbead5ad42b2d077</vt:lpwstr>
  </property>
</Properties>
</file>