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E1186" w:rsidRDefault="008E1186">
      <w:pPr>
        <w:pStyle w:val="BodyText"/>
        <w:rPr>
          <w:rFonts w:ascii="Arial"/>
          <w:sz w:val="20"/>
        </w:rPr>
      </w:pPr>
    </w:p>
    <w:p w:rsidR="008E1186" w:rsidRDefault="008E1186">
      <w:pPr>
        <w:pStyle w:val="BodyText"/>
        <w:rPr>
          <w:rFonts w:ascii="Arial"/>
          <w:sz w:val="20"/>
        </w:rPr>
      </w:pPr>
    </w:p>
    <w:p w:rsidR="008E1186" w:rsidRDefault="008E1186">
      <w:pPr>
        <w:pStyle w:val="BodyText"/>
        <w:rPr>
          <w:rFonts w:ascii="Arial"/>
          <w:sz w:val="20"/>
        </w:rPr>
      </w:pPr>
    </w:p>
    <w:p w:rsidR="008E1186" w:rsidRDefault="008E1186">
      <w:pPr>
        <w:pStyle w:val="BodyText"/>
        <w:spacing w:before="2"/>
        <w:rPr>
          <w:rFonts w:ascii="Arial"/>
          <w:sz w:val="22"/>
        </w:rPr>
      </w:pPr>
    </w:p>
    <w:p w:rsidR="008E1186" w:rsidRDefault="00066E3B">
      <w:pPr>
        <w:pStyle w:val="Heading1"/>
        <w:spacing w:line="256" w:lineRule="auto"/>
        <w:ind w:left="5200" w:hanging="3700"/>
      </w:pPr>
      <w:r>
        <w:t>Does Soaking Synthetic Mesh with Vancomycin Solution Reduce Infections in Open Hernia Repairs?</w:t>
      </w:r>
    </w:p>
    <w:p w:rsidR="008E1186" w:rsidRDefault="008E1186">
      <w:pPr>
        <w:pStyle w:val="BodyText"/>
        <w:spacing w:before="10"/>
        <w:rPr>
          <w:b/>
          <w:sz w:val="27"/>
        </w:rPr>
      </w:pPr>
    </w:p>
    <w:p w:rsidR="008E1186" w:rsidRDefault="00066E3B">
      <w:pPr>
        <w:ind w:left="1440"/>
        <w:rPr>
          <w:b/>
          <w:sz w:val="26"/>
        </w:rPr>
      </w:pPr>
      <w:r>
        <w:rPr>
          <w:b/>
          <w:sz w:val="26"/>
        </w:rPr>
        <w:t>Introduction</w:t>
      </w:r>
    </w:p>
    <w:p w:rsidR="008E1186" w:rsidRDefault="008E1186">
      <w:pPr>
        <w:pStyle w:val="BodyText"/>
        <w:rPr>
          <w:b/>
          <w:sz w:val="26"/>
        </w:rPr>
      </w:pPr>
    </w:p>
    <w:p w:rsidR="008E1186" w:rsidRDefault="00066E3B">
      <w:pPr>
        <w:pStyle w:val="BodyText"/>
        <w:spacing w:before="1" w:line="242" w:lineRule="auto"/>
        <w:ind w:left="1440" w:right="719" w:firstLine="720"/>
      </w:pPr>
      <w:r>
        <w:t>Mesh infections following open hernia repair pose a daunting postoperative challenge given the sheer number of cases involved, the severity of consequences to the patient, and the attendant cost to the healthcare system. Mesh infections following hernia repair are known to increase</w:t>
      </w:r>
      <w:r>
        <w:rPr>
          <w:spacing w:val="-5"/>
        </w:rPr>
        <w:t xml:space="preserve"> </w:t>
      </w:r>
      <w:r>
        <w:t>re-operation</w:t>
      </w:r>
      <w:r>
        <w:rPr>
          <w:spacing w:val="-4"/>
        </w:rPr>
        <w:t xml:space="preserve"> </w:t>
      </w:r>
      <w:r>
        <w:t>rates,</w:t>
      </w:r>
      <w:r>
        <w:rPr>
          <w:spacing w:val="-4"/>
        </w:rPr>
        <w:t xml:space="preserve"> </w:t>
      </w:r>
      <w:r>
        <w:t>morbidity,</w:t>
      </w:r>
      <w:r>
        <w:rPr>
          <w:spacing w:val="-4"/>
        </w:rPr>
        <w:t xml:space="preserve"> </w:t>
      </w:r>
      <w:r>
        <w:t>financial</w:t>
      </w:r>
      <w:r>
        <w:rPr>
          <w:spacing w:val="-4"/>
        </w:rPr>
        <w:t xml:space="preserve"> </w:t>
      </w:r>
      <w:r>
        <w:t>cost,</w:t>
      </w:r>
      <w:r>
        <w:rPr>
          <w:spacing w:val="-4"/>
        </w:rPr>
        <w:t xml:space="preserve"> </w:t>
      </w:r>
      <w:r>
        <w:t>as</w:t>
      </w:r>
      <w:r>
        <w:rPr>
          <w:spacing w:val="-4"/>
        </w:rPr>
        <w:t xml:space="preserve"> </w:t>
      </w:r>
      <w:r>
        <w:t>well</w:t>
      </w:r>
      <w:r>
        <w:rPr>
          <w:spacing w:val="-4"/>
        </w:rPr>
        <w:t xml:space="preserve"> </w:t>
      </w:r>
      <w:r>
        <w:t>as</w:t>
      </w:r>
      <w:r>
        <w:rPr>
          <w:spacing w:val="-4"/>
        </w:rPr>
        <w:t xml:space="preserve"> </w:t>
      </w:r>
      <w:r>
        <w:t>hernia</w:t>
      </w:r>
      <w:r>
        <w:rPr>
          <w:spacing w:val="-5"/>
        </w:rPr>
        <w:t xml:space="preserve"> </w:t>
      </w:r>
      <w:r>
        <w:t>recurrence</w:t>
      </w:r>
      <w:r>
        <w:rPr>
          <w:spacing w:val="-5"/>
        </w:rPr>
        <w:t xml:space="preserve"> </w:t>
      </w:r>
      <w:r>
        <w:t>(which,</w:t>
      </w:r>
      <w:r>
        <w:rPr>
          <w:spacing w:val="-3"/>
        </w:rPr>
        <w:t xml:space="preserve"> </w:t>
      </w:r>
      <w:r>
        <w:t>in</w:t>
      </w:r>
      <w:r>
        <w:rPr>
          <w:spacing w:val="-4"/>
        </w:rPr>
        <w:t xml:space="preserve"> </w:t>
      </w:r>
      <w:r>
        <w:t xml:space="preserve">turn, leads to all of the aforementioned factors. </w:t>
      </w:r>
      <w:r>
        <w:rPr>
          <w:position w:val="6"/>
          <w:sz w:val="16"/>
        </w:rPr>
        <w:t xml:space="preserve">1,2 </w:t>
      </w:r>
      <w:r>
        <w:t>In many circumstances, this implies the need for a third, if not fourth or more, operation for redo repair of the hernia with reintroduction of synthetic mesh at some point in the patient’s course. This is because the second operation will typically be limited to removal of the infected mesh without reintroduction of further synthetic material in an infected field. The cost of repeat physician and hospital visits; as well as that of</w:t>
      </w:r>
      <w:r>
        <w:rPr>
          <w:spacing w:val="-43"/>
        </w:rPr>
        <w:t xml:space="preserve"> </w:t>
      </w:r>
      <w:r>
        <w:t>re- operations, readmissions, and the potential clinical complications thereof; may mount to very significant levels. It is, therefore, not surprising that a great deal of interest has been shown in preventing infections of synthetic mesh following hernia</w:t>
      </w:r>
      <w:r>
        <w:rPr>
          <w:spacing w:val="-3"/>
        </w:rPr>
        <w:t xml:space="preserve"> repair.</w:t>
      </w:r>
    </w:p>
    <w:p w:rsidR="008E1186" w:rsidRDefault="008E1186">
      <w:pPr>
        <w:pStyle w:val="BodyText"/>
        <w:spacing w:before="7"/>
        <w:rPr>
          <w:sz w:val="25"/>
        </w:rPr>
      </w:pPr>
    </w:p>
    <w:p w:rsidR="008E1186" w:rsidRDefault="00066E3B">
      <w:pPr>
        <w:pStyle w:val="BodyText"/>
        <w:spacing w:line="242" w:lineRule="auto"/>
        <w:ind w:left="1440" w:right="716" w:firstLine="720"/>
      </w:pPr>
      <w:r>
        <w:t>Our current sterilization protocols as well as the practice of prophylactic antibiotic administration are examples of the efforts applied in this regard. However, prophylactic antibiotic therapy has not proven to be sufficient on its own in reducing SSIs (surgical site infections) to negligible levels</w:t>
      </w:r>
      <w:r>
        <w:rPr>
          <w:position w:val="6"/>
          <w:sz w:val="16"/>
        </w:rPr>
        <w:t>3</w:t>
      </w:r>
      <w:r>
        <w:t>. As such, mesh infections following hernia repair surgery remain a significant problem and have been documented to occur in up to 13% of cases when the use of synthetic mesh is involved</w:t>
      </w:r>
      <w:r>
        <w:rPr>
          <w:position w:val="6"/>
          <w:sz w:val="16"/>
        </w:rPr>
        <w:t>4-9</w:t>
      </w:r>
      <w:r>
        <w:t>. Mesh infections or SSIs are a significant predictor for the recurrence of hernias</w:t>
      </w:r>
      <w:r>
        <w:rPr>
          <w:position w:val="6"/>
          <w:sz w:val="16"/>
        </w:rPr>
        <w:t>10</w:t>
      </w:r>
      <w:r>
        <w:t>. Soaking meshes in antibiotic solutions in order to prevent potential infection and adhesion of the bacteria to the mesh, and as such prevent biofilm formation, is an idea that has long been contemplated and experimented with by General Surgeons</w:t>
      </w:r>
      <w:r>
        <w:rPr>
          <w:position w:val="6"/>
          <w:sz w:val="16"/>
        </w:rPr>
        <w:t>10, 11</w:t>
      </w:r>
      <w:r>
        <w:t>. Although this practice today is not that uncommon, there remains a lack of solid data with human clinical trials to demonstrate its efficacy.</w:t>
      </w:r>
    </w:p>
    <w:p w:rsidR="008E1186" w:rsidRDefault="008E1186">
      <w:pPr>
        <w:pStyle w:val="BodyText"/>
        <w:spacing w:before="6"/>
        <w:rPr>
          <w:sz w:val="25"/>
        </w:rPr>
      </w:pPr>
    </w:p>
    <w:p w:rsidR="008E1186" w:rsidRDefault="00066E3B">
      <w:pPr>
        <w:pStyle w:val="BodyText"/>
        <w:spacing w:before="1" w:line="242" w:lineRule="auto"/>
        <w:ind w:left="1440" w:right="696" w:firstLine="720"/>
      </w:pPr>
      <w:r>
        <w:t xml:space="preserve">A recent trial in a rat model found that pre-soaking synthetic mesh in a 10mg/ml </w:t>
      </w:r>
      <w:r>
        <w:rPr>
          <w:spacing w:val="-4"/>
        </w:rPr>
        <w:t xml:space="preserve">Vancomycin </w:t>
      </w:r>
      <w:r>
        <w:t>solution resulted in significantly lower mesh bacterial counts</w:t>
      </w:r>
      <w:r>
        <w:rPr>
          <w:position w:val="6"/>
          <w:sz w:val="16"/>
        </w:rPr>
        <w:t>10</w:t>
      </w:r>
      <w:r>
        <w:t xml:space="preserve">. In this </w:t>
      </w:r>
      <w:r>
        <w:rPr>
          <w:spacing w:val="-3"/>
        </w:rPr>
        <w:t xml:space="preserve">study, </w:t>
      </w:r>
      <w:r>
        <w:t>soaking the mesh for 15 minutes prior to surgical implantation inside the body significantly reduced the chance of bacterial adherence and biofilm formation on composite meshes, subsequently reducing bacterial growth</w:t>
      </w:r>
      <w:r>
        <w:rPr>
          <w:position w:val="6"/>
          <w:sz w:val="16"/>
        </w:rPr>
        <w:t>10</w:t>
      </w:r>
      <w:r>
        <w:t xml:space="preserve">. Others have explored the possibility of coating meshes with affinity-based drug delivery polymers and then soaking the mesh with vancomycin in an attempt to deliver vancomycin in slow release linear fashion in an animal model; This successfully prevented </w:t>
      </w:r>
      <w:r>
        <w:rPr>
          <w:i/>
        </w:rPr>
        <w:t xml:space="preserve">staphylococcus aureus </w:t>
      </w:r>
      <w:r>
        <w:t>infections at 2 and 4 weeks post-operatively</w:t>
      </w:r>
      <w:r>
        <w:rPr>
          <w:position w:val="6"/>
          <w:sz w:val="16"/>
        </w:rPr>
        <w:t>12</w:t>
      </w:r>
      <w:r>
        <w:t>. In</w:t>
      </w:r>
      <w:r>
        <w:rPr>
          <w:spacing w:val="-30"/>
        </w:rPr>
        <w:t xml:space="preserve"> </w:t>
      </w:r>
      <w:r>
        <w:t xml:space="preserve">a 2015 study performed by Perez-Kohler et al., it was found that pre-soaking mesh in </w:t>
      </w:r>
      <w:r>
        <w:rPr>
          <w:spacing w:val="-4"/>
        </w:rPr>
        <w:t xml:space="preserve">Vancomycin </w:t>
      </w:r>
      <w:r>
        <w:t xml:space="preserve">solution not only prevented the adherence of bacteria to the surface of the pre-soaked meshes, but also resulted in no toxicity in an </w:t>
      </w:r>
      <w:r>
        <w:rPr>
          <w:i/>
        </w:rPr>
        <w:t xml:space="preserve">in vitro </w:t>
      </w:r>
      <w:r>
        <w:t>animal model. Whether this translates into lower rates of clinically significant mesh infections, for example, those requiring re-hospitalization and re-admission, is unknown. In addition, whether the results found in this animal model are applicable to human subjects is also</w:t>
      </w:r>
      <w:r>
        <w:rPr>
          <w:spacing w:val="-2"/>
        </w:rPr>
        <w:t xml:space="preserve"> </w:t>
      </w:r>
      <w:r>
        <w:t>unknown.</w:t>
      </w:r>
    </w:p>
    <w:p w:rsidR="008E1186" w:rsidRDefault="008E1186">
      <w:pPr>
        <w:spacing w:line="242" w:lineRule="auto"/>
        <w:sectPr w:rsidR="008E1186">
          <w:pgSz w:w="12240" w:h="15840"/>
          <w:pgMar w:top="0" w:right="760" w:bottom="280" w:left="0" w:header="720" w:footer="720" w:gutter="0"/>
          <w:cols w:space="720"/>
        </w:sectPr>
      </w:pPr>
    </w:p>
    <w:p w:rsidR="008E1186" w:rsidRDefault="00066E3B">
      <w:pPr>
        <w:pStyle w:val="BodyText"/>
        <w:spacing w:before="36" w:line="242" w:lineRule="auto"/>
        <w:ind w:left="1440" w:right="621" w:firstLine="720"/>
      </w:pPr>
      <w:r>
        <w:lastRenderedPageBreak/>
        <w:t>Based on the preceding information, we can conclude that pre-soaking mesh in antibiotic solution with certain parameters has shown to be useful in reducing bacterial infestation of mesh in an animal model. The evidence to demonstrate that this is applicable in humans and leads to clinically important outcomes (namely, reduced mesh infection rates) is lacking. In this study, therefore, we set out to explore whether pre-soaking mesh in an antibiotic solution (with the parameters set out in the aforementioned animal studies) results in lower rates of mesh infections in human subjects. To this end, we designed and carried out a randomized controlled trial to test whether soaking synthetic mesh in a 10mg/ml solution of Vancomycin would lead to a significant reduction in infection rates with open hernia repair surgeries.</w:t>
      </w:r>
    </w:p>
    <w:p w:rsidR="008E1186" w:rsidRDefault="008E1186">
      <w:pPr>
        <w:pStyle w:val="BodyText"/>
      </w:pPr>
    </w:p>
    <w:p w:rsidR="008E1186" w:rsidRDefault="008E1186">
      <w:pPr>
        <w:pStyle w:val="BodyText"/>
        <w:spacing w:before="6"/>
        <w:rPr>
          <w:sz w:val="27"/>
        </w:rPr>
      </w:pPr>
    </w:p>
    <w:p w:rsidR="008E1186" w:rsidRDefault="00066E3B">
      <w:pPr>
        <w:pStyle w:val="Heading1"/>
      </w:pPr>
      <w:r>
        <w:t>Methods</w:t>
      </w:r>
    </w:p>
    <w:p w:rsidR="008E1186" w:rsidRDefault="008E1186">
      <w:pPr>
        <w:pStyle w:val="BodyText"/>
        <w:spacing w:before="9"/>
        <w:rPr>
          <w:b/>
          <w:sz w:val="27"/>
        </w:rPr>
      </w:pPr>
    </w:p>
    <w:p w:rsidR="008E1186" w:rsidRDefault="00066E3B">
      <w:pPr>
        <w:pStyle w:val="BodyText"/>
        <w:spacing w:line="261" w:lineRule="auto"/>
        <w:ind w:left="1440" w:right="727" w:firstLine="720"/>
      </w:pPr>
      <w:r>
        <w:t xml:space="preserve">Both inguinal and ventral hernias performed via the open surgical approach were included in this </w:t>
      </w:r>
      <w:r>
        <w:rPr>
          <w:spacing w:val="-3"/>
        </w:rPr>
        <w:t xml:space="preserve">study. </w:t>
      </w:r>
      <w:r>
        <w:t>All procedures were done under standard sterile field precautions at Moose Jaw Union Hospital in Saskatchewan, Canada. All patients received weight-based Cefazolin intravenous injection within one hour of skin incision as a prophylactic measure. Patients who were allergic to Cephalosporins or Penicillin were given intravenous Clindamycin injection instead as a prophylactic antibiotic. Inguinal hernia repair surgeries were all performed using the standard Lichtenstein tension-free repair method utilizing synthetic mesh and non</w:t>
      </w:r>
      <w:r w:rsidR="00BE1B64">
        <w:t>-</w:t>
      </w:r>
      <w:r>
        <w:t xml:space="preserve">absorbable sutures for mesh fixation. Patients were randomized to one of two groups: </w:t>
      </w:r>
      <w:r>
        <w:rPr>
          <w:spacing w:val="-4"/>
        </w:rPr>
        <w:t xml:space="preserve">Vancomycin </w:t>
      </w:r>
      <w:r>
        <w:t xml:space="preserve">group (where mesh is soaked in a 10mg/mL </w:t>
      </w:r>
      <w:r>
        <w:rPr>
          <w:spacing w:val="-4"/>
        </w:rPr>
        <w:t xml:space="preserve">Vancomycin </w:t>
      </w:r>
      <w:r>
        <w:t xml:space="preserve">solution for 15 minutes prior to fixation within the body) and placebo group (where the mesh is soaked in a Normal Saline solution for 15 minutes prior to fixation within the body). This was done using the block randomization technique. Both the patient as well as the surgical team were blinded as to the patient’s group assignment within the </w:t>
      </w:r>
      <w:r>
        <w:rPr>
          <w:spacing w:val="-3"/>
        </w:rPr>
        <w:t xml:space="preserve">study. </w:t>
      </w:r>
      <w:r>
        <w:t xml:space="preserve">Both the </w:t>
      </w:r>
      <w:r>
        <w:rPr>
          <w:spacing w:val="-4"/>
        </w:rPr>
        <w:t xml:space="preserve">Vancomycin </w:t>
      </w:r>
      <w:r>
        <w:t>and Normal Saline solutions were clear and appeared identical to the naked eye. Both the surgeon and office staff remained blinded to the patient’s group assignment on follow up which was uniformly arranged at 6</w:t>
      </w:r>
      <w:r>
        <w:rPr>
          <w:spacing w:val="-36"/>
        </w:rPr>
        <w:t xml:space="preserve"> </w:t>
      </w:r>
      <w:r>
        <w:t>weeks after the</w:t>
      </w:r>
      <w:r>
        <w:rPr>
          <w:spacing w:val="-2"/>
        </w:rPr>
        <w:t xml:space="preserve"> </w:t>
      </w:r>
      <w:r>
        <w:t>operation.</w:t>
      </w:r>
    </w:p>
    <w:p w:rsidR="008E1186" w:rsidRDefault="008E1186">
      <w:pPr>
        <w:pStyle w:val="BodyText"/>
        <w:spacing w:before="11"/>
      </w:pPr>
    </w:p>
    <w:p w:rsidR="008E1186" w:rsidRDefault="00066E3B">
      <w:pPr>
        <w:pStyle w:val="BodyText"/>
        <w:spacing w:line="261" w:lineRule="auto"/>
        <w:ind w:left="1440" w:right="682" w:firstLine="720"/>
      </w:pPr>
      <w:r>
        <w:t xml:space="preserve">The ventral hernia repairs within this study were all done with the standard open technique using synthetic mesh in a tension free fashion. As with the inguinal hernias, the patients were randomized into the same two groups of </w:t>
      </w:r>
      <w:r>
        <w:rPr>
          <w:spacing w:val="-4"/>
        </w:rPr>
        <w:t xml:space="preserve">Vancomycin </w:t>
      </w:r>
      <w:r>
        <w:t>and Normal Saline. The same sterile, prophylactic antibiotic administration method, blinding, as well as follow ups principles were adhered to as described above.</w:t>
      </w:r>
    </w:p>
    <w:p w:rsidR="008E1186" w:rsidRDefault="008E1186">
      <w:pPr>
        <w:pStyle w:val="BodyText"/>
        <w:spacing w:before="8"/>
        <w:rPr>
          <w:sz w:val="25"/>
        </w:rPr>
      </w:pPr>
    </w:p>
    <w:p w:rsidR="008E1186" w:rsidRDefault="00066E3B">
      <w:pPr>
        <w:pStyle w:val="Heading2"/>
        <w:spacing w:before="1"/>
      </w:pPr>
      <w:r>
        <w:t>Statistical Methods</w:t>
      </w:r>
    </w:p>
    <w:p w:rsidR="008E1186" w:rsidRDefault="008E1186">
      <w:pPr>
        <w:pStyle w:val="BodyText"/>
        <w:spacing w:before="1"/>
        <w:rPr>
          <w:b/>
          <w:i/>
          <w:sz w:val="28"/>
        </w:rPr>
      </w:pPr>
    </w:p>
    <w:p w:rsidR="008E1186" w:rsidRDefault="00066E3B">
      <w:pPr>
        <w:pStyle w:val="BodyText"/>
        <w:spacing w:before="1" w:line="261" w:lineRule="auto"/>
        <w:ind w:left="1440" w:right="716" w:firstLine="720"/>
      </w:pPr>
      <w:r>
        <w:rPr>
          <w:color w:val="212121"/>
        </w:rPr>
        <w:t>Non</w:t>
      </w:r>
      <w:r w:rsidR="004A0BF6">
        <w:rPr>
          <w:color w:val="212121"/>
        </w:rPr>
        <w:t>-</w:t>
      </w:r>
      <w:r>
        <w:rPr>
          <w:color w:val="212121"/>
        </w:rPr>
        <w:t>parametric statistical methods were used for analysis in this study. The primary outcome in this study was postoperative mesh infection following open hernia repair. Secondary outcomes were postoperative pain, hernia recurrence, bleeding, and medical complications in the immediate postoperative period. We calculated descriptive and summary statistics for all recorded variables. We performed univariate analyses using t tests for continuous variables and</w:t>
      </w:r>
    </w:p>
    <w:p w:rsidR="008E1186" w:rsidRDefault="008E1186">
      <w:pPr>
        <w:spacing w:line="261" w:lineRule="auto"/>
        <w:sectPr w:rsidR="008E1186">
          <w:pgSz w:w="12240" w:h="15840"/>
          <w:pgMar w:top="1400" w:right="760" w:bottom="280" w:left="0" w:header="720" w:footer="720" w:gutter="0"/>
          <w:cols w:space="720"/>
        </w:sectPr>
      </w:pPr>
    </w:p>
    <w:p w:rsidR="008E1186" w:rsidRDefault="00066E3B">
      <w:pPr>
        <w:pStyle w:val="BodyText"/>
        <w:spacing w:before="76" w:line="261" w:lineRule="auto"/>
        <w:ind w:left="1440" w:right="686"/>
      </w:pPr>
      <w:r>
        <w:rPr>
          <w:color w:val="212121"/>
        </w:rPr>
        <w:lastRenderedPageBreak/>
        <w:t xml:space="preserve">χ2 tests for categorical variables. Multivariate logistic regression analysis was performed to control for potential confounding factors, and odds ratios and 95% confidence intervals were generated. </w:t>
      </w:r>
      <w:r>
        <w:rPr>
          <w:color w:val="212121"/>
          <w:spacing w:val="-10"/>
        </w:rPr>
        <w:t xml:space="preserve">We </w:t>
      </w:r>
      <w:r>
        <w:rPr>
          <w:color w:val="212121"/>
        </w:rPr>
        <w:t xml:space="preserve">generated descriptive statistics (means, medians, frequencies, standard deviations) for all variables. </w:t>
      </w:r>
      <w:r>
        <w:rPr>
          <w:color w:val="212121"/>
          <w:spacing w:val="-10"/>
        </w:rPr>
        <w:t xml:space="preserve">We </w:t>
      </w:r>
      <w:r>
        <w:rPr>
          <w:color w:val="212121"/>
        </w:rPr>
        <w:t>used logistic regression models to delineate the relation of each variable with (primary outcome). The χ2 test was used to calculate the statistical significance of the differences between the groups with regard to the variables. The odds ratios and 95%</w:t>
      </w:r>
      <w:r>
        <w:rPr>
          <w:color w:val="212121"/>
          <w:spacing w:val="-28"/>
        </w:rPr>
        <w:t xml:space="preserve"> </w:t>
      </w:r>
      <w:r>
        <w:rPr>
          <w:color w:val="212121"/>
          <w:spacing w:val="-3"/>
        </w:rPr>
        <w:t xml:space="preserve">Wald-based </w:t>
      </w:r>
      <w:r>
        <w:rPr>
          <w:color w:val="212121"/>
        </w:rPr>
        <w:t xml:space="preserve">confidence intervals were also calculated. Because of the limited data available, we performed multivariate regression analysis using only the factors that were significant in the univariate analysis. </w:t>
      </w:r>
      <w:r>
        <w:rPr>
          <w:color w:val="212121"/>
          <w:spacing w:val="-10"/>
        </w:rPr>
        <w:t xml:space="preserve">We </w:t>
      </w:r>
      <w:r>
        <w:rPr>
          <w:color w:val="212121"/>
        </w:rPr>
        <w:t>used a significance level of p &lt; 0.05 throughout the</w:t>
      </w:r>
      <w:r>
        <w:rPr>
          <w:color w:val="212121"/>
          <w:spacing w:val="-2"/>
        </w:rPr>
        <w:t xml:space="preserve"> </w:t>
      </w:r>
      <w:r>
        <w:rPr>
          <w:color w:val="212121"/>
          <w:spacing w:val="-3"/>
        </w:rPr>
        <w:t>study.</w:t>
      </w:r>
    </w:p>
    <w:p w:rsidR="008E1186" w:rsidRDefault="008E1186">
      <w:pPr>
        <w:pStyle w:val="BodyText"/>
        <w:spacing w:before="5"/>
        <w:rPr>
          <w:sz w:val="25"/>
        </w:rPr>
      </w:pPr>
    </w:p>
    <w:p w:rsidR="008E1186" w:rsidRDefault="00066E3B">
      <w:pPr>
        <w:ind w:left="1440"/>
        <w:rPr>
          <w:b/>
          <w:sz w:val="24"/>
        </w:rPr>
      </w:pPr>
      <w:r>
        <w:rPr>
          <w:b/>
          <w:sz w:val="24"/>
        </w:rPr>
        <w:t>Results</w:t>
      </w:r>
    </w:p>
    <w:p w:rsidR="008E1186" w:rsidRDefault="008E1186">
      <w:pPr>
        <w:pStyle w:val="BodyText"/>
        <w:spacing w:before="2"/>
        <w:rPr>
          <w:b/>
          <w:sz w:val="28"/>
        </w:rPr>
      </w:pPr>
    </w:p>
    <w:p w:rsidR="008E1186" w:rsidRDefault="00066E3B">
      <w:pPr>
        <w:pStyle w:val="BodyText"/>
        <w:spacing w:line="261" w:lineRule="auto"/>
        <w:ind w:left="1440" w:right="719" w:firstLine="720"/>
      </w:pPr>
      <w:r>
        <w:t xml:space="preserve">We successfully managed to recruit and randomize 115 participants in this study. Of the 115 research subjects, 80.8% were over the age of 45 at the time of the surgery. The majority of the subjects were male (92 subjects or 80%) and 20% (23 patients) were female. There was no statistical difference in age between the male and female subjects. Inguinal, umbilical and incisional hernias were included in the study as demonstrated in Table 2. </w:t>
      </w:r>
      <w:r>
        <w:rPr>
          <w:color w:val="0433FF"/>
        </w:rPr>
        <w:t xml:space="preserve">48.2% </w:t>
      </w:r>
      <w:r>
        <w:t xml:space="preserve">of the surgeries </w:t>
      </w:r>
      <w:proofErr w:type="spellStart"/>
      <w:r>
        <w:t>preformed</w:t>
      </w:r>
      <w:proofErr w:type="spellEnd"/>
      <w:r>
        <w:t xml:space="preserve"> were on inguinal hernias and </w:t>
      </w:r>
      <w:r>
        <w:rPr>
          <w:color w:val="0433FF"/>
        </w:rPr>
        <w:t xml:space="preserve">42.9% </w:t>
      </w:r>
      <w:r>
        <w:t xml:space="preserve">were umbilical, the remaining </w:t>
      </w:r>
      <w:r>
        <w:rPr>
          <w:color w:val="0433FF"/>
        </w:rPr>
        <w:t xml:space="preserve">8.9% </w:t>
      </w:r>
      <w:r>
        <w:t>were on incisional hernias.</w:t>
      </w:r>
    </w:p>
    <w:p w:rsidR="008E1186" w:rsidRDefault="008E1186">
      <w:pPr>
        <w:pStyle w:val="BodyText"/>
        <w:spacing w:before="7"/>
        <w:rPr>
          <w:sz w:val="25"/>
        </w:rPr>
      </w:pPr>
    </w:p>
    <w:p w:rsidR="008E1186" w:rsidRDefault="00066E3B">
      <w:pPr>
        <w:pStyle w:val="BodyText"/>
        <w:tabs>
          <w:tab w:val="left" w:pos="2972"/>
        </w:tabs>
        <w:spacing w:line="261" w:lineRule="auto"/>
        <w:ind w:left="1440" w:right="721" w:firstLine="720"/>
      </w:pPr>
      <w:r>
        <w:t xml:space="preserve">Of the </w:t>
      </w:r>
      <w:r>
        <w:rPr>
          <w:spacing w:val="-3"/>
        </w:rPr>
        <w:t xml:space="preserve">115 </w:t>
      </w:r>
      <w:r>
        <w:t xml:space="preserve">hernia repairs performed, 14 patients (12.3% of the total study population) experienced complications. Complications included pain, seroma, infection, swelling and recurrence, as demonstrated in </w:t>
      </w:r>
      <w:r>
        <w:rPr>
          <w:spacing w:val="-4"/>
        </w:rPr>
        <w:t xml:space="preserve">Table </w:t>
      </w:r>
      <w:r>
        <w:t>3. Of the 14 cases that experienced complications, 8 (57.1%) were on inguinal hernia repairs and 6 (42.8%) were on umbilical hernias</w:t>
      </w:r>
      <w:r w:rsidR="004A0BF6">
        <w:t xml:space="preserve">. </w:t>
      </w:r>
      <w:r>
        <w:t>It is interesting to note that 35.7% of those that experienced complications had diagnosed type-two diabetes, 50.0% were alcoholics and 71.4% were</w:t>
      </w:r>
      <w:r>
        <w:rPr>
          <w:spacing w:val="-25"/>
        </w:rPr>
        <w:t xml:space="preserve"> </w:t>
      </w:r>
      <w:r>
        <w:t xml:space="preserve">smokers as demonstrated in </w:t>
      </w:r>
      <w:r>
        <w:rPr>
          <w:spacing w:val="-4"/>
        </w:rPr>
        <w:t>Table</w:t>
      </w:r>
      <w:r>
        <w:rPr>
          <w:spacing w:val="-7"/>
        </w:rPr>
        <w:t xml:space="preserve"> </w:t>
      </w:r>
      <w:r>
        <w:t>4.</w:t>
      </w:r>
    </w:p>
    <w:p w:rsidR="008E1186" w:rsidRDefault="008E1186">
      <w:pPr>
        <w:pStyle w:val="BodyText"/>
        <w:spacing w:before="6"/>
        <w:rPr>
          <w:sz w:val="25"/>
        </w:rPr>
      </w:pPr>
    </w:p>
    <w:p w:rsidR="008E1186" w:rsidRDefault="00066E3B">
      <w:pPr>
        <w:pStyle w:val="BodyText"/>
        <w:spacing w:before="1" w:line="261" w:lineRule="auto"/>
        <w:ind w:left="1440" w:right="714" w:firstLine="720"/>
      </w:pPr>
      <w:r>
        <w:t xml:space="preserve">Overall, the rate of postoperative infection was very low in patients undergoing open hernia repair in this </w:t>
      </w:r>
      <w:r>
        <w:rPr>
          <w:spacing w:val="-3"/>
        </w:rPr>
        <w:t xml:space="preserve">study. </w:t>
      </w:r>
      <w:r>
        <w:t xml:space="preserve">Out of the </w:t>
      </w:r>
      <w:r>
        <w:rPr>
          <w:spacing w:val="-3"/>
        </w:rPr>
        <w:t xml:space="preserve">114 </w:t>
      </w:r>
      <w:r>
        <w:t>participants who underwent hernia repair surgery only three of them developed an infection (less than 3%). Although this outcome of roughly 2.6%</w:t>
      </w:r>
      <w:r>
        <w:rPr>
          <w:spacing w:val="-33"/>
        </w:rPr>
        <w:t xml:space="preserve"> </w:t>
      </w:r>
      <w:r>
        <w:t>was within the current normal range (0 - 9%)</w:t>
      </w:r>
      <w:r>
        <w:rPr>
          <w:position w:val="5"/>
          <w:sz w:val="13"/>
        </w:rPr>
        <w:t>15</w:t>
      </w:r>
      <w:r>
        <w:t>, it is not possible to infer the efficiency of soaking meshes in antibiotic solutions, as three infections is a small sample. It is evident, that the occurrence of infection post-hernia repair surgery with meshes is rare in MUH. This may indicate that regular mesh use, without soaking in antibiotic, has little infection complications in MUH.</w:t>
      </w:r>
    </w:p>
    <w:p w:rsidR="008E1186" w:rsidRDefault="008E1186">
      <w:pPr>
        <w:spacing w:line="261" w:lineRule="auto"/>
        <w:sectPr w:rsidR="008E1186">
          <w:pgSz w:w="12240" w:h="15840"/>
          <w:pgMar w:top="1380" w:right="760" w:bottom="280" w:left="0" w:header="720" w:footer="720" w:gutter="0"/>
          <w:cols w:space="720"/>
        </w:sectPr>
      </w:pPr>
    </w:p>
    <w:p w:rsidR="00A96C47" w:rsidRDefault="00A96C47" w:rsidP="00A96C47">
      <w:pPr>
        <w:pStyle w:val="Heading2"/>
        <w:spacing w:before="76"/>
      </w:pPr>
    </w:p>
    <w:p w:rsidR="00A96C47" w:rsidRDefault="00A96C47" w:rsidP="00A96C47">
      <w:pPr>
        <w:pStyle w:val="Heading2"/>
        <w:spacing w:before="76"/>
      </w:pPr>
    </w:p>
    <w:p w:rsidR="00A96C47" w:rsidRDefault="00A96C47" w:rsidP="00A96C47">
      <w:pPr>
        <w:pStyle w:val="Heading2"/>
        <w:spacing w:before="76"/>
      </w:pPr>
    </w:p>
    <w:p w:rsidR="00A96C47" w:rsidRDefault="00A96C47" w:rsidP="00A96C47">
      <w:pPr>
        <w:pStyle w:val="Heading2"/>
        <w:spacing w:before="76"/>
      </w:pPr>
    </w:p>
    <w:p w:rsidR="008E1186" w:rsidRDefault="00066E3B" w:rsidP="00A96C47">
      <w:pPr>
        <w:pStyle w:val="Heading2"/>
        <w:spacing w:before="76"/>
      </w:pPr>
      <w:r>
        <w:t>Statistical Methods</w:t>
      </w:r>
    </w:p>
    <w:p w:rsidR="008E1186" w:rsidRDefault="008E1186">
      <w:pPr>
        <w:pStyle w:val="BodyText"/>
        <w:spacing w:before="1"/>
        <w:rPr>
          <w:b/>
          <w:i/>
          <w:sz w:val="28"/>
        </w:rPr>
      </w:pPr>
    </w:p>
    <w:p w:rsidR="008E1186" w:rsidRDefault="00066E3B" w:rsidP="00A96C47">
      <w:pPr>
        <w:pStyle w:val="BodyText"/>
        <w:spacing w:before="1" w:line="261" w:lineRule="auto"/>
        <w:ind w:left="720" w:right="719"/>
      </w:pPr>
      <w:r>
        <w:rPr>
          <w:color w:val="212121"/>
        </w:rPr>
        <w:t>Non</w:t>
      </w:r>
      <w:r w:rsidR="00A96C47">
        <w:rPr>
          <w:color w:val="212121"/>
        </w:rPr>
        <w:t>-</w:t>
      </w:r>
      <w:r>
        <w:rPr>
          <w:color w:val="212121"/>
        </w:rPr>
        <w:t xml:space="preserve">parametric statistical methods were used for analysis in this study. The primary outcome in this </w:t>
      </w:r>
      <w:r w:rsidR="00A96C47">
        <w:rPr>
          <w:color w:val="212121"/>
        </w:rPr>
        <w:t xml:space="preserve">      </w:t>
      </w:r>
      <w:r>
        <w:rPr>
          <w:color w:val="212121"/>
        </w:rPr>
        <w:t>study was postoperative mesh infection following open hernia repair. Secondary outcomes were postoperative pain, hernia</w:t>
      </w:r>
    </w:p>
    <w:p w:rsidR="008E1186" w:rsidRDefault="008E1186">
      <w:pPr>
        <w:pStyle w:val="BodyText"/>
        <w:rPr>
          <w:sz w:val="20"/>
        </w:rPr>
      </w:pPr>
    </w:p>
    <w:p w:rsidR="008E1186" w:rsidRDefault="008E1186">
      <w:pPr>
        <w:pStyle w:val="BodyText"/>
        <w:rPr>
          <w:sz w:val="20"/>
        </w:rPr>
      </w:pPr>
    </w:p>
    <w:p w:rsidR="008E1186" w:rsidRDefault="008E1186">
      <w:pPr>
        <w:pStyle w:val="BodyText"/>
        <w:rPr>
          <w:sz w:val="20"/>
        </w:rPr>
      </w:pPr>
    </w:p>
    <w:p w:rsidR="008E1186" w:rsidRDefault="008E1186">
      <w:pPr>
        <w:pStyle w:val="BodyText"/>
        <w:rPr>
          <w:sz w:val="20"/>
        </w:rPr>
      </w:pPr>
    </w:p>
    <w:p w:rsidR="008E1186" w:rsidRDefault="008E1186">
      <w:pPr>
        <w:pStyle w:val="BodyText"/>
        <w:rPr>
          <w:sz w:val="20"/>
        </w:rPr>
      </w:pPr>
    </w:p>
    <w:p w:rsidR="008E1186" w:rsidRDefault="008E1186">
      <w:pPr>
        <w:pStyle w:val="BodyText"/>
      </w:pPr>
    </w:p>
    <w:p w:rsidR="008E1186" w:rsidRDefault="008E1186">
      <w:pPr>
        <w:pStyle w:val="BodyText"/>
        <w:spacing w:before="2"/>
        <w:rPr>
          <w:sz w:val="28"/>
        </w:rPr>
      </w:pPr>
    </w:p>
    <w:p w:rsidR="008E1186" w:rsidRDefault="008E1186">
      <w:pPr>
        <w:sectPr w:rsidR="008E1186">
          <w:pgSz w:w="12240" w:h="15840"/>
          <w:pgMar w:top="320" w:right="760" w:bottom="280" w:left="0" w:header="720" w:footer="720" w:gutter="0"/>
          <w:cols w:space="720"/>
        </w:sectPr>
      </w:pPr>
    </w:p>
    <w:p w:rsidR="008E1186" w:rsidRDefault="008E1186">
      <w:pPr>
        <w:pStyle w:val="BodyText"/>
        <w:rPr>
          <w:sz w:val="26"/>
        </w:rPr>
      </w:pPr>
    </w:p>
    <w:p w:rsidR="008E1186" w:rsidRDefault="008E1186">
      <w:pPr>
        <w:pStyle w:val="BodyText"/>
        <w:spacing w:before="3"/>
        <w:rPr>
          <w:sz w:val="28"/>
        </w:rPr>
      </w:pPr>
    </w:p>
    <w:p w:rsidR="008E1186" w:rsidRDefault="008E1186">
      <w:pPr>
        <w:pStyle w:val="BodyText"/>
        <w:spacing w:before="5"/>
        <w:rPr>
          <w:sz w:val="26"/>
        </w:rPr>
      </w:pPr>
    </w:p>
    <w:p w:rsidR="008E1186" w:rsidRDefault="00066E3B">
      <w:pPr>
        <w:pStyle w:val="Heading1"/>
      </w:pPr>
      <w:r>
        <w:t>Discussion</w:t>
      </w:r>
    </w:p>
    <w:p w:rsidR="008E1186" w:rsidRDefault="008E1186">
      <w:pPr>
        <w:pStyle w:val="BodyText"/>
        <w:spacing w:before="6"/>
        <w:rPr>
          <w:b/>
          <w:sz w:val="29"/>
        </w:rPr>
      </w:pPr>
    </w:p>
    <w:p w:rsidR="008E1186" w:rsidRDefault="00066E3B">
      <w:pPr>
        <w:pStyle w:val="BodyText"/>
        <w:ind w:left="2160"/>
      </w:pPr>
      <w:r>
        <w:t>Hernia repairs are one of the most common procedures performed by general surgeons.</w:t>
      </w:r>
    </w:p>
    <w:p w:rsidR="008E1186" w:rsidRDefault="00066E3B">
      <w:pPr>
        <w:pStyle w:val="BodyText"/>
        <w:spacing w:before="24" w:line="261" w:lineRule="auto"/>
        <w:ind w:left="1440" w:right="802"/>
      </w:pPr>
      <w:r>
        <w:rPr>
          <w:position w:val="7"/>
          <w:sz w:val="16"/>
        </w:rPr>
        <w:t xml:space="preserve">14,15 </w:t>
      </w:r>
      <w:r>
        <w:t>Overall, infection rates for open hernia repairs are quite low, with previous research indicating rates anywhere between 0% to 9%, with varying definitions of what an infection includes.</w:t>
      </w:r>
      <w:r>
        <w:rPr>
          <w:position w:val="7"/>
          <w:sz w:val="16"/>
        </w:rPr>
        <w:t xml:space="preserve">15 </w:t>
      </w:r>
      <w:r>
        <w:t>As hernia repairs are done as a day surgery, infections are not recognized within the setting of the hospital, but rather in the out-patient setting.</w:t>
      </w:r>
      <w:r>
        <w:rPr>
          <w:position w:val="7"/>
          <w:sz w:val="16"/>
        </w:rPr>
        <w:t xml:space="preserve">14 </w:t>
      </w:r>
      <w:r>
        <w:t>Additionally, there are independent predictors of infection within the patient population that have been previously identified such as smoking, prolonged operative time, and chronic steroid use.</w:t>
      </w:r>
      <w:r>
        <w:rPr>
          <w:position w:val="7"/>
          <w:sz w:val="16"/>
        </w:rPr>
        <w:t xml:space="preserve">16 </w:t>
      </w:r>
      <w:r>
        <w:t>These characteristics will largely impact the infection rates reported and should be identified prior to surgery.</w:t>
      </w:r>
    </w:p>
    <w:p w:rsidR="008E1186" w:rsidRDefault="008E1186">
      <w:pPr>
        <w:pStyle w:val="BodyText"/>
        <w:spacing w:before="7"/>
        <w:rPr>
          <w:sz w:val="25"/>
        </w:rPr>
      </w:pPr>
    </w:p>
    <w:p w:rsidR="008E1186" w:rsidRDefault="00066E3B">
      <w:pPr>
        <w:pStyle w:val="BodyText"/>
        <w:spacing w:line="261" w:lineRule="auto"/>
        <w:ind w:left="1440" w:right="722" w:firstLine="720"/>
      </w:pPr>
      <w:r>
        <w:t>It is highly likely that the surgical methodology and the surgeon technique was superb and had resulted in few complications such as infections or seromas. Some centers have reported higher rates of infections than were obtained at MUH throughout this study. It is important to document and assess how the surgeries were performed in order to disseminate best practice for preventing infections through an operative procedure.</w:t>
      </w:r>
    </w:p>
    <w:p w:rsidR="008E1186" w:rsidRDefault="008E1186">
      <w:pPr>
        <w:pStyle w:val="BodyText"/>
        <w:spacing w:before="8"/>
        <w:rPr>
          <w:sz w:val="25"/>
        </w:rPr>
      </w:pPr>
    </w:p>
    <w:p w:rsidR="008E1186" w:rsidRDefault="00066E3B">
      <w:pPr>
        <w:pStyle w:val="BodyText"/>
        <w:spacing w:line="261" w:lineRule="auto"/>
        <w:ind w:left="1440" w:right="802" w:firstLine="720"/>
      </w:pPr>
      <w:r>
        <w:t>Many studies have been done looking at the efficacy of reducing post-operative infections utilizing antibiotic prophylaxis prior to open hernia repair. These studies have had</w:t>
      </w:r>
    </w:p>
    <w:p w:rsidR="008E1186" w:rsidRDefault="008E1186">
      <w:pPr>
        <w:spacing w:line="261" w:lineRule="auto"/>
        <w:sectPr w:rsidR="008E1186">
          <w:pgSz w:w="12240" w:h="15840"/>
          <w:pgMar w:top="1440" w:right="760" w:bottom="280" w:left="0" w:header="720" w:footer="720" w:gutter="0"/>
          <w:cols w:space="720"/>
        </w:sectPr>
      </w:pPr>
    </w:p>
    <w:p w:rsidR="008E1186" w:rsidRDefault="00066E3B">
      <w:pPr>
        <w:pStyle w:val="BodyText"/>
        <w:spacing w:before="76" w:line="261" w:lineRule="auto"/>
        <w:ind w:left="1440" w:right="802"/>
        <w:rPr>
          <w:sz w:val="16"/>
        </w:rPr>
      </w:pPr>
      <w:r>
        <w:lastRenderedPageBreak/>
        <w:t>similar results to our study, in that the overall infection rate was low, and therefore no statistically significant difference between groups was detected.</w:t>
      </w:r>
      <w:r>
        <w:rPr>
          <w:position w:val="7"/>
          <w:sz w:val="16"/>
        </w:rPr>
        <w:t>17</w:t>
      </w:r>
    </w:p>
    <w:p w:rsidR="008E1186" w:rsidRDefault="008E1186">
      <w:pPr>
        <w:pStyle w:val="BodyText"/>
        <w:rPr>
          <w:sz w:val="26"/>
        </w:rPr>
      </w:pPr>
    </w:p>
    <w:p w:rsidR="008E1186" w:rsidRDefault="00066E3B">
      <w:pPr>
        <w:pStyle w:val="Heading1"/>
      </w:pPr>
      <w:r>
        <w:t>Conclusions</w:t>
      </w:r>
    </w:p>
    <w:p w:rsidR="008E1186" w:rsidRDefault="008E1186">
      <w:pPr>
        <w:pStyle w:val="BodyText"/>
        <w:spacing w:before="9"/>
        <w:rPr>
          <w:b/>
          <w:sz w:val="27"/>
        </w:rPr>
      </w:pPr>
    </w:p>
    <w:p w:rsidR="008E1186" w:rsidRDefault="00066E3B">
      <w:pPr>
        <w:pStyle w:val="BodyText"/>
        <w:spacing w:before="1" w:line="261" w:lineRule="auto"/>
        <w:ind w:left="1440" w:right="696" w:firstLine="720"/>
      </w:pPr>
      <w:r>
        <w:t>This study demonstrated that soaking pre-soaking mesh in Vancomycin solution for open hernia repair was practical, feasible, and safe in a community surgery setting. No significant difference in outcomes, however, was detected in this trial between the vancomycin and placebo groups. It is likely this was the case due to the very low incidence rates of mesh infections and other postoperative complications.</w:t>
      </w:r>
      <w:r w:rsidR="0085327F">
        <w:t xml:space="preserve"> </w:t>
      </w:r>
      <w:proofErr w:type="gramStart"/>
      <w:r>
        <w:t>A</w:t>
      </w:r>
      <w:proofErr w:type="gramEnd"/>
      <w:r>
        <w:t xml:space="preserve"> larger sample size would be necessary to definitively elucidate the effect of soaking mesh in Vancomycin solution on open hernia infection rates.</w:t>
      </w:r>
    </w:p>
    <w:p w:rsidR="008E1186" w:rsidRDefault="008E1186">
      <w:pPr>
        <w:pStyle w:val="BodyText"/>
        <w:rPr>
          <w:sz w:val="26"/>
        </w:rPr>
      </w:pPr>
    </w:p>
    <w:p w:rsidR="008E1186" w:rsidRDefault="008E1186">
      <w:pPr>
        <w:pStyle w:val="BodyText"/>
        <w:rPr>
          <w:sz w:val="26"/>
        </w:rPr>
      </w:pPr>
    </w:p>
    <w:p w:rsidR="008E1186" w:rsidRDefault="008E1186">
      <w:pPr>
        <w:pStyle w:val="BodyText"/>
        <w:spacing w:before="7"/>
        <w:rPr>
          <w:sz w:val="27"/>
        </w:rPr>
      </w:pPr>
    </w:p>
    <w:p w:rsidR="008E1186" w:rsidRDefault="00066E3B">
      <w:pPr>
        <w:pStyle w:val="Heading1"/>
        <w:spacing w:before="1"/>
      </w:pPr>
      <w:r>
        <w:t>References</w:t>
      </w:r>
    </w:p>
    <w:p w:rsidR="008E1186" w:rsidRDefault="008E1186">
      <w:pPr>
        <w:pStyle w:val="BodyText"/>
        <w:rPr>
          <w:b/>
          <w:sz w:val="26"/>
        </w:rPr>
      </w:pPr>
    </w:p>
    <w:p w:rsidR="008E1186" w:rsidRDefault="00066E3B">
      <w:pPr>
        <w:pStyle w:val="ListParagraph"/>
        <w:numPr>
          <w:ilvl w:val="0"/>
          <w:numId w:val="1"/>
        </w:numPr>
        <w:tabs>
          <w:tab w:val="left" w:pos="1680"/>
        </w:tabs>
        <w:spacing w:line="242" w:lineRule="auto"/>
        <w:ind w:right="1464" w:firstLine="0"/>
        <w:rPr>
          <w:sz w:val="24"/>
        </w:rPr>
      </w:pPr>
      <w:proofErr w:type="spellStart"/>
      <w:r>
        <w:rPr>
          <w:sz w:val="24"/>
        </w:rPr>
        <w:t>Leber</w:t>
      </w:r>
      <w:proofErr w:type="spellEnd"/>
      <w:r>
        <w:rPr>
          <w:sz w:val="24"/>
        </w:rPr>
        <w:t xml:space="preserve"> GE, Garb JL, Alexander AI, Reed </w:t>
      </w:r>
      <w:r>
        <w:rPr>
          <w:spacing w:val="-10"/>
          <w:sz w:val="24"/>
        </w:rPr>
        <w:t xml:space="preserve">WP. </w:t>
      </w:r>
      <w:r>
        <w:rPr>
          <w:sz w:val="24"/>
        </w:rPr>
        <w:t>Long-term complications associated</w:t>
      </w:r>
      <w:r>
        <w:rPr>
          <w:spacing w:val="-41"/>
          <w:sz w:val="24"/>
        </w:rPr>
        <w:t xml:space="preserve"> </w:t>
      </w:r>
      <w:r>
        <w:rPr>
          <w:sz w:val="24"/>
        </w:rPr>
        <w:t xml:space="preserve">with prosthetic repair of incisional hernia. </w:t>
      </w:r>
      <w:r w:rsidRPr="00BE1B64">
        <w:rPr>
          <w:iCs/>
          <w:spacing w:val="-3"/>
          <w:sz w:val="24"/>
        </w:rPr>
        <w:t>Arch Surg</w:t>
      </w:r>
      <w:r w:rsidR="00BE1B64">
        <w:rPr>
          <w:iCs/>
          <w:spacing w:val="-3"/>
          <w:sz w:val="24"/>
        </w:rPr>
        <w:t>.</w:t>
      </w:r>
      <w:r>
        <w:rPr>
          <w:i/>
          <w:spacing w:val="1"/>
          <w:sz w:val="24"/>
        </w:rPr>
        <w:t xml:space="preserve"> </w:t>
      </w:r>
      <w:proofErr w:type="gramStart"/>
      <w:r>
        <w:rPr>
          <w:sz w:val="24"/>
        </w:rPr>
        <w:t>1998;133:378</w:t>
      </w:r>
      <w:proofErr w:type="gramEnd"/>
      <w:r>
        <w:rPr>
          <w:sz w:val="24"/>
        </w:rPr>
        <w:t>–382</w:t>
      </w:r>
    </w:p>
    <w:p w:rsidR="008E1186" w:rsidRDefault="008E1186">
      <w:pPr>
        <w:pStyle w:val="BodyText"/>
        <w:spacing w:before="7"/>
      </w:pPr>
    </w:p>
    <w:p w:rsidR="008E1186" w:rsidRDefault="00066E3B">
      <w:pPr>
        <w:pStyle w:val="ListParagraph"/>
        <w:numPr>
          <w:ilvl w:val="0"/>
          <w:numId w:val="1"/>
        </w:numPr>
        <w:tabs>
          <w:tab w:val="left" w:pos="1680"/>
        </w:tabs>
        <w:spacing w:line="242" w:lineRule="auto"/>
        <w:ind w:right="969" w:firstLine="0"/>
        <w:rPr>
          <w:sz w:val="24"/>
        </w:rPr>
      </w:pPr>
      <w:proofErr w:type="spellStart"/>
      <w:r>
        <w:rPr>
          <w:sz w:val="24"/>
        </w:rPr>
        <w:t>Engelsman</w:t>
      </w:r>
      <w:proofErr w:type="spellEnd"/>
      <w:r>
        <w:rPr>
          <w:sz w:val="24"/>
        </w:rPr>
        <w:t xml:space="preserve"> </w:t>
      </w:r>
      <w:r>
        <w:rPr>
          <w:spacing w:val="-7"/>
          <w:sz w:val="24"/>
        </w:rPr>
        <w:t xml:space="preserve">AF, </w:t>
      </w:r>
      <w:r>
        <w:rPr>
          <w:sz w:val="24"/>
        </w:rPr>
        <w:t xml:space="preserve">van der Mei HC, Ploeg RJ, </w:t>
      </w:r>
      <w:proofErr w:type="spellStart"/>
      <w:r>
        <w:rPr>
          <w:sz w:val="24"/>
        </w:rPr>
        <w:t>Busscher</w:t>
      </w:r>
      <w:proofErr w:type="spellEnd"/>
      <w:r>
        <w:rPr>
          <w:sz w:val="24"/>
        </w:rPr>
        <w:t xml:space="preserve"> HJ. The phenomenon of infection</w:t>
      </w:r>
      <w:r>
        <w:rPr>
          <w:spacing w:val="-25"/>
          <w:sz w:val="24"/>
        </w:rPr>
        <w:t xml:space="preserve"> </w:t>
      </w:r>
      <w:r>
        <w:rPr>
          <w:sz w:val="24"/>
        </w:rPr>
        <w:t xml:space="preserve">with abdominal wall reconstruction. </w:t>
      </w:r>
      <w:r w:rsidRPr="00BE1B64">
        <w:rPr>
          <w:iCs/>
          <w:sz w:val="24"/>
        </w:rPr>
        <w:t>Biomaterial</w:t>
      </w:r>
      <w:r w:rsidR="00BE1B64">
        <w:rPr>
          <w:iCs/>
          <w:sz w:val="24"/>
        </w:rPr>
        <w:t>.</w:t>
      </w:r>
      <w:r>
        <w:rPr>
          <w:i/>
          <w:spacing w:val="-1"/>
          <w:sz w:val="24"/>
        </w:rPr>
        <w:t xml:space="preserve"> </w:t>
      </w:r>
      <w:proofErr w:type="gramStart"/>
      <w:r>
        <w:rPr>
          <w:sz w:val="24"/>
        </w:rPr>
        <w:t>2007;28:2314</w:t>
      </w:r>
      <w:proofErr w:type="gramEnd"/>
      <w:r>
        <w:rPr>
          <w:sz w:val="24"/>
        </w:rPr>
        <w:t>–2327</w:t>
      </w:r>
      <w:r w:rsidR="007E568C">
        <w:rPr>
          <w:sz w:val="24"/>
        </w:rPr>
        <w:t>.</w:t>
      </w:r>
    </w:p>
    <w:p w:rsidR="008E1186" w:rsidRDefault="008E1186">
      <w:pPr>
        <w:pStyle w:val="BodyText"/>
        <w:spacing w:before="6"/>
      </w:pPr>
    </w:p>
    <w:p w:rsidR="008E1186" w:rsidRDefault="00066E3B">
      <w:pPr>
        <w:pStyle w:val="ListParagraph"/>
        <w:numPr>
          <w:ilvl w:val="0"/>
          <w:numId w:val="1"/>
        </w:numPr>
        <w:tabs>
          <w:tab w:val="left" w:pos="1676"/>
        </w:tabs>
        <w:spacing w:line="242" w:lineRule="auto"/>
        <w:ind w:right="1029" w:firstLine="0"/>
        <w:rPr>
          <w:sz w:val="24"/>
        </w:rPr>
      </w:pPr>
      <w:r>
        <w:rPr>
          <w:spacing w:val="-5"/>
          <w:sz w:val="24"/>
        </w:rPr>
        <w:t xml:space="preserve">Wang, </w:t>
      </w:r>
      <w:r>
        <w:rPr>
          <w:sz w:val="24"/>
        </w:rPr>
        <w:t xml:space="preserve">J., </w:t>
      </w:r>
      <w:r>
        <w:rPr>
          <w:spacing w:val="-5"/>
          <w:sz w:val="24"/>
        </w:rPr>
        <w:t xml:space="preserve">Yang, </w:t>
      </w:r>
      <w:r>
        <w:rPr>
          <w:sz w:val="24"/>
        </w:rPr>
        <w:t xml:space="preserve">Z., Xi, M., Zhao, </w:t>
      </w:r>
      <w:r>
        <w:rPr>
          <w:spacing w:val="-9"/>
          <w:sz w:val="24"/>
        </w:rPr>
        <w:t xml:space="preserve">P., </w:t>
      </w:r>
      <w:r>
        <w:rPr>
          <w:spacing w:val="-5"/>
          <w:sz w:val="24"/>
        </w:rPr>
        <w:t xml:space="preserve">Wang, </w:t>
      </w:r>
      <w:r>
        <w:rPr>
          <w:sz w:val="24"/>
        </w:rPr>
        <w:t xml:space="preserve">L., </w:t>
      </w:r>
      <w:r>
        <w:rPr>
          <w:spacing w:val="-6"/>
          <w:sz w:val="24"/>
        </w:rPr>
        <w:t xml:space="preserve">Wen, </w:t>
      </w:r>
      <w:r>
        <w:rPr>
          <w:sz w:val="24"/>
        </w:rPr>
        <w:t xml:space="preserve">A., and Ji, G. Prospective randomized, double-blind, </w:t>
      </w:r>
      <w:proofErr w:type="gramStart"/>
      <w:r>
        <w:rPr>
          <w:sz w:val="24"/>
        </w:rPr>
        <w:t>placebo controlled</w:t>
      </w:r>
      <w:proofErr w:type="gramEnd"/>
      <w:r>
        <w:rPr>
          <w:sz w:val="24"/>
        </w:rPr>
        <w:t xml:space="preserve"> trial to evaluate infection prevention in adult patients after tension-free inguinal hernia </w:t>
      </w:r>
      <w:r>
        <w:rPr>
          <w:spacing w:val="-3"/>
          <w:sz w:val="24"/>
        </w:rPr>
        <w:t xml:space="preserve">repair. </w:t>
      </w:r>
      <w:r w:rsidRPr="00BE1B64">
        <w:rPr>
          <w:iCs/>
          <w:sz w:val="24"/>
        </w:rPr>
        <w:t xml:space="preserve">Int J of Clin Pharma </w:t>
      </w:r>
      <w:proofErr w:type="spellStart"/>
      <w:r w:rsidRPr="00BE1B64">
        <w:rPr>
          <w:iCs/>
          <w:sz w:val="24"/>
        </w:rPr>
        <w:t>Ther</w:t>
      </w:r>
      <w:proofErr w:type="spellEnd"/>
      <w:r w:rsidR="00BE1B64">
        <w:rPr>
          <w:iCs/>
          <w:sz w:val="24"/>
        </w:rPr>
        <w:t>.</w:t>
      </w:r>
      <w:r>
        <w:rPr>
          <w:i/>
          <w:sz w:val="24"/>
        </w:rPr>
        <w:t xml:space="preserve"> </w:t>
      </w:r>
      <w:r>
        <w:rPr>
          <w:sz w:val="24"/>
        </w:rPr>
        <w:t>2013; 51(12),</w:t>
      </w:r>
      <w:r>
        <w:rPr>
          <w:spacing w:val="-5"/>
          <w:sz w:val="24"/>
        </w:rPr>
        <w:t xml:space="preserve"> </w:t>
      </w:r>
      <w:r>
        <w:rPr>
          <w:sz w:val="24"/>
        </w:rPr>
        <w:t>924-931.</w:t>
      </w:r>
    </w:p>
    <w:p w:rsidR="008E1186" w:rsidRDefault="008E1186">
      <w:pPr>
        <w:pStyle w:val="BodyText"/>
        <w:spacing w:before="8"/>
      </w:pPr>
    </w:p>
    <w:p w:rsidR="008E1186" w:rsidRDefault="00066E3B">
      <w:pPr>
        <w:pStyle w:val="ListParagraph"/>
        <w:numPr>
          <w:ilvl w:val="0"/>
          <w:numId w:val="1"/>
        </w:numPr>
        <w:tabs>
          <w:tab w:val="left" w:pos="1680"/>
        </w:tabs>
        <w:spacing w:line="242" w:lineRule="auto"/>
        <w:ind w:right="776" w:firstLine="0"/>
        <w:rPr>
          <w:sz w:val="24"/>
        </w:rPr>
      </w:pPr>
      <w:proofErr w:type="spellStart"/>
      <w:r>
        <w:rPr>
          <w:sz w:val="24"/>
        </w:rPr>
        <w:t>Falagas</w:t>
      </w:r>
      <w:proofErr w:type="spellEnd"/>
      <w:r>
        <w:rPr>
          <w:sz w:val="24"/>
        </w:rPr>
        <w:t xml:space="preserve"> ME, </w:t>
      </w:r>
      <w:proofErr w:type="spellStart"/>
      <w:r>
        <w:rPr>
          <w:sz w:val="24"/>
        </w:rPr>
        <w:t>Kasiakou</w:t>
      </w:r>
      <w:proofErr w:type="spellEnd"/>
      <w:r>
        <w:rPr>
          <w:sz w:val="24"/>
        </w:rPr>
        <w:t xml:space="preserve"> SK. Mesh-related infections after hernia repair </w:t>
      </w:r>
      <w:r>
        <w:rPr>
          <w:spacing w:val="-3"/>
          <w:sz w:val="24"/>
        </w:rPr>
        <w:t xml:space="preserve">surgery. </w:t>
      </w:r>
      <w:r w:rsidRPr="00BE1B64">
        <w:rPr>
          <w:iCs/>
          <w:sz w:val="24"/>
        </w:rPr>
        <w:t>Clin</w:t>
      </w:r>
      <w:r w:rsidRPr="00BE1B64">
        <w:rPr>
          <w:iCs/>
          <w:spacing w:val="-26"/>
          <w:sz w:val="24"/>
        </w:rPr>
        <w:t xml:space="preserve"> </w:t>
      </w:r>
      <w:r w:rsidRPr="00BE1B64">
        <w:rPr>
          <w:iCs/>
          <w:sz w:val="24"/>
        </w:rPr>
        <w:t>Microbiol Infec</w:t>
      </w:r>
      <w:r w:rsidR="00BE1B64">
        <w:rPr>
          <w:iCs/>
          <w:sz w:val="24"/>
        </w:rPr>
        <w:t>t.</w:t>
      </w:r>
      <w:r>
        <w:rPr>
          <w:i/>
          <w:sz w:val="24"/>
        </w:rPr>
        <w:t xml:space="preserve"> </w:t>
      </w:r>
      <w:r>
        <w:rPr>
          <w:sz w:val="24"/>
        </w:rPr>
        <w:t>2005;</w:t>
      </w:r>
      <w:r>
        <w:rPr>
          <w:spacing w:val="-2"/>
          <w:sz w:val="24"/>
        </w:rPr>
        <w:t xml:space="preserve"> </w:t>
      </w:r>
      <w:r>
        <w:rPr>
          <w:sz w:val="24"/>
        </w:rPr>
        <w:t>11:3–8</w:t>
      </w:r>
    </w:p>
    <w:p w:rsidR="008E1186" w:rsidRDefault="008E1186">
      <w:pPr>
        <w:pStyle w:val="BodyText"/>
        <w:spacing w:before="7"/>
      </w:pPr>
    </w:p>
    <w:p w:rsidR="008E1186" w:rsidRDefault="00066E3B">
      <w:pPr>
        <w:pStyle w:val="ListParagraph"/>
        <w:numPr>
          <w:ilvl w:val="0"/>
          <w:numId w:val="1"/>
        </w:numPr>
        <w:tabs>
          <w:tab w:val="left" w:pos="1680"/>
        </w:tabs>
        <w:spacing w:line="242" w:lineRule="auto"/>
        <w:ind w:right="1067" w:firstLine="0"/>
        <w:rPr>
          <w:sz w:val="24"/>
        </w:rPr>
      </w:pPr>
      <w:r>
        <w:rPr>
          <w:sz w:val="24"/>
        </w:rPr>
        <w:t>Petersen S, Henke G, Freitag M et al.</w:t>
      </w:r>
      <w:r w:rsidR="00C63ABE">
        <w:rPr>
          <w:sz w:val="24"/>
        </w:rPr>
        <w:t xml:space="preserve"> </w:t>
      </w:r>
      <w:r>
        <w:rPr>
          <w:sz w:val="24"/>
        </w:rPr>
        <w:t xml:space="preserve">Deep prosthesis infection in incisional hernia repair: predictive factors and clinical outcome. </w:t>
      </w:r>
      <w:r w:rsidRPr="00BE1B64">
        <w:rPr>
          <w:iCs/>
          <w:sz w:val="24"/>
        </w:rPr>
        <w:t xml:space="preserve">Eur J </w:t>
      </w:r>
      <w:r w:rsidRPr="00BE1B64">
        <w:rPr>
          <w:iCs/>
          <w:spacing w:val="-3"/>
          <w:sz w:val="24"/>
        </w:rPr>
        <w:t>Surg</w:t>
      </w:r>
      <w:r w:rsidR="00BE1B64">
        <w:rPr>
          <w:iCs/>
          <w:spacing w:val="-3"/>
          <w:sz w:val="24"/>
        </w:rPr>
        <w:t>.</w:t>
      </w:r>
      <w:r>
        <w:rPr>
          <w:i/>
          <w:spacing w:val="-3"/>
          <w:sz w:val="24"/>
        </w:rPr>
        <w:t xml:space="preserve"> </w:t>
      </w:r>
      <w:r>
        <w:rPr>
          <w:sz w:val="24"/>
        </w:rPr>
        <w:t>2001;</w:t>
      </w:r>
      <w:r>
        <w:rPr>
          <w:spacing w:val="-4"/>
          <w:sz w:val="24"/>
        </w:rPr>
        <w:t xml:space="preserve"> </w:t>
      </w:r>
      <w:r>
        <w:rPr>
          <w:sz w:val="24"/>
        </w:rPr>
        <w:t>167:453–457</w:t>
      </w:r>
    </w:p>
    <w:p w:rsidR="008E1186" w:rsidRDefault="008E1186">
      <w:pPr>
        <w:pStyle w:val="BodyText"/>
        <w:spacing w:before="6"/>
      </w:pPr>
    </w:p>
    <w:p w:rsidR="008E1186" w:rsidRDefault="00066E3B">
      <w:pPr>
        <w:pStyle w:val="ListParagraph"/>
        <w:numPr>
          <w:ilvl w:val="0"/>
          <w:numId w:val="1"/>
        </w:numPr>
        <w:tabs>
          <w:tab w:val="left" w:pos="1676"/>
        </w:tabs>
        <w:spacing w:line="242" w:lineRule="auto"/>
        <w:ind w:right="1077" w:firstLine="0"/>
        <w:rPr>
          <w:sz w:val="24"/>
        </w:rPr>
      </w:pPr>
      <w:proofErr w:type="spellStart"/>
      <w:r>
        <w:rPr>
          <w:spacing w:val="-3"/>
          <w:sz w:val="24"/>
        </w:rPr>
        <w:t>Vrijland</w:t>
      </w:r>
      <w:proofErr w:type="spellEnd"/>
      <w:r>
        <w:rPr>
          <w:spacing w:val="-3"/>
          <w:sz w:val="24"/>
        </w:rPr>
        <w:t xml:space="preserve"> </w:t>
      </w:r>
      <w:r>
        <w:rPr>
          <w:spacing w:val="-8"/>
          <w:sz w:val="24"/>
        </w:rPr>
        <w:t xml:space="preserve">WW, </w:t>
      </w:r>
      <w:r>
        <w:rPr>
          <w:sz w:val="24"/>
        </w:rPr>
        <w:t xml:space="preserve">van den </w:t>
      </w:r>
      <w:r>
        <w:rPr>
          <w:spacing w:val="-6"/>
          <w:sz w:val="24"/>
        </w:rPr>
        <w:t xml:space="preserve">Tol </w:t>
      </w:r>
      <w:r>
        <w:rPr>
          <w:spacing w:val="-9"/>
          <w:sz w:val="24"/>
        </w:rPr>
        <w:t xml:space="preserve">MP, </w:t>
      </w:r>
      <w:proofErr w:type="spellStart"/>
      <w:r>
        <w:rPr>
          <w:sz w:val="24"/>
        </w:rPr>
        <w:t>Luijendijk</w:t>
      </w:r>
      <w:proofErr w:type="spellEnd"/>
      <w:r>
        <w:rPr>
          <w:sz w:val="24"/>
        </w:rPr>
        <w:t xml:space="preserve"> </w:t>
      </w:r>
      <w:r>
        <w:rPr>
          <w:spacing w:val="-7"/>
          <w:sz w:val="24"/>
        </w:rPr>
        <w:t xml:space="preserve">RW </w:t>
      </w:r>
      <w:r>
        <w:rPr>
          <w:sz w:val="24"/>
        </w:rPr>
        <w:t xml:space="preserve">et al. Randomized clinical trial of non-mesh versus mesh repair of primary inguinal hernia. </w:t>
      </w:r>
      <w:r w:rsidRPr="00BE1B64">
        <w:rPr>
          <w:iCs/>
          <w:sz w:val="24"/>
        </w:rPr>
        <w:t xml:space="preserve">Br J </w:t>
      </w:r>
      <w:r w:rsidRPr="00BE1B64">
        <w:rPr>
          <w:iCs/>
          <w:spacing w:val="-3"/>
          <w:sz w:val="24"/>
        </w:rPr>
        <w:t>Surg</w:t>
      </w:r>
      <w:r w:rsidR="00BE1B64">
        <w:rPr>
          <w:iCs/>
          <w:spacing w:val="-3"/>
          <w:sz w:val="24"/>
        </w:rPr>
        <w:t>.</w:t>
      </w:r>
      <w:r>
        <w:rPr>
          <w:i/>
          <w:spacing w:val="-3"/>
          <w:sz w:val="24"/>
        </w:rPr>
        <w:t xml:space="preserve"> </w:t>
      </w:r>
      <w:r>
        <w:rPr>
          <w:sz w:val="24"/>
        </w:rPr>
        <w:t>2002;</w:t>
      </w:r>
      <w:r>
        <w:rPr>
          <w:spacing w:val="-3"/>
          <w:sz w:val="24"/>
        </w:rPr>
        <w:t xml:space="preserve"> </w:t>
      </w:r>
      <w:r>
        <w:rPr>
          <w:sz w:val="24"/>
        </w:rPr>
        <w:t>89:293–297</w:t>
      </w:r>
      <w:r w:rsidR="007E568C">
        <w:rPr>
          <w:sz w:val="24"/>
        </w:rPr>
        <w:t>.</w:t>
      </w:r>
    </w:p>
    <w:p w:rsidR="008E1186" w:rsidRDefault="008E1186">
      <w:pPr>
        <w:pStyle w:val="BodyText"/>
        <w:spacing w:before="7"/>
      </w:pPr>
    </w:p>
    <w:p w:rsidR="008E1186" w:rsidRDefault="00066E3B">
      <w:pPr>
        <w:pStyle w:val="ListParagraph"/>
        <w:numPr>
          <w:ilvl w:val="0"/>
          <w:numId w:val="1"/>
        </w:numPr>
        <w:tabs>
          <w:tab w:val="left" w:pos="1680"/>
        </w:tabs>
        <w:spacing w:line="242" w:lineRule="auto"/>
        <w:ind w:right="692" w:firstLine="0"/>
        <w:rPr>
          <w:sz w:val="24"/>
        </w:rPr>
      </w:pPr>
      <w:r>
        <w:rPr>
          <w:sz w:val="24"/>
        </w:rPr>
        <w:t xml:space="preserve">Kercher </w:t>
      </w:r>
      <w:r>
        <w:rPr>
          <w:spacing w:val="-8"/>
          <w:sz w:val="24"/>
        </w:rPr>
        <w:t xml:space="preserve">KW, </w:t>
      </w:r>
      <w:r>
        <w:rPr>
          <w:sz w:val="24"/>
        </w:rPr>
        <w:t xml:space="preserve">Sing </w:t>
      </w:r>
      <w:r>
        <w:rPr>
          <w:spacing w:val="-7"/>
          <w:sz w:val="24"/>
        </w:rPr>
        <w:t xml:space="preserve">RF, </w:t>
      </w:r>
      <w:r>
        <w:rPr>
          <w:sz w:val="24"/>
        </w:rPr>
        <w:t xml:space="preserve">Matthews BD, </w:t>
      </w:r>
      <w:proofErr w:type="spellStart"/>
      <w:r>
        <w:rPr>
          <w:sz w:val="24"/>
        </w:rPr>
        <w:t>Heniford</w:t>
      </w:r>
      <w:proofErr w:type="spellEnd"/>
      <w:r>
        <w:rPr>
          <w:sz w:val="24"/>
        </w:rPr>
        <w:t xml:space="preserve"> </w:t>
      </w:r>
      <w:r>
        <w:rPr>
          <w:spacing w:val="-6"/>
          <w:sz w:val="24"/>
        </w:rPr>
        <w:t xml:space="preserve">BT. </w:t>
      </w:r>
      <w:r>
        <w:rPr>
          <w:sz w:val="24"/>
        </w:rPr>
        <w:t xml:space="preserve">Successful salvage of infected PTFE mesh after ventral hernia </w:t>
      </w:r>
      <w:r>
        <w:rPr>
          <w:spacing w:val="-3"/>
          <w:sz w:val="24"/>
        </w:rPr>
        <w:t xml:space="preserve">repair. </w:t>
      </w:r>
      <w:r w:rsidRPr="00BE1B64">
        <w:rPr>
          <w:iCs/>
          <w:sz w:val="24"/>
        </w:rPr>
        <w:t xml:space="preserve">Ostomy </w:t>
      </w:r>
      <w:r w:rsidRPr="00BE1B64">
        <w:rPr>
          <w:iCs/>
          <w:spacing w:val="-5"/>
          <w:sz w:val="24"/>
        </w:rPr>
        <w:t xml:space="preserve">Wound </w:t>
      </w:r>
      <w:r w:rsidRPr="00BE1B64">
        <w:rPr>
          <w:iCs/>
          <w:sz w:val="24"/>
        </w:rPr>
        <w:t>Manage</w:t>
      </w:r>
      <w:r w:rsidR="00BE1B64">
        <w:rPr>
          <w:iCs/>
          <w:sz w:val="24"/>
        </w:rPr>
        <w:t>.</w:t>
      </w:r>
      <w:r>
        <w:rPr>
          <w:i/>
          <w:sz w:val="24"/>
        </w:rPr>
        <w:t xml:space="preserve"> </w:t>
      </w:r>
      <w:r>
        <w:rPr>
          <w:sz w:val="24"/>
        </w:rPr>
        <w:t>2002;</w:t>
      </w:r>
      <w:r>
        <w:rPr>
          <w:spacing w:val="3"/>
          <w:sz w:val="24"/>
        </w:rPr>
        <w:t xml:space="preserve"> </w:t>
      </w:r>
      <w:r>
        <w:rPr>
          <w:sz w:val="24"/>
        </w:rPr>
        <w:t>48:40–45</w:t>
      </w:r>
      <w:r w:rsidR="007E568C">
        <w:rPr>
          <w:sz w:val="24"/>
        </w:rPr>
        <w:t>.</w:t>
      </w:r>
    </w:p>
    <w:p w:rsidR="008E1186" w:rsidRDefault="008E1186">
      <w:pPr>
        <w:pStyle w:val="BodyText"/>
        <w:spacing w:before="6"/>
      </w:pPr>
    </w:p>
    <w:p w:rsidR="008E1186" w:rsidRDefault="00066E3B">
      <w:pPr>
        <w:pStyle w:val="ListParagraph"/>
        <w:numPr>
          <w:ilvl w:val="0"/>
          <w:numId w:val="1"/>
        </w:numPr>
        <w:tabs>
          <w:tab w:val="left" w:pos="1680"/>
        </w:tabs>
        <w:spacing w:line="242" w:lineRule="auto"/>
        <w:ind w:right="960" w:firstLine="0"/>
        <w:rPr>
          <w:sz w:val="24"/>
        </w:rPr>
      </w:pPr>
      <w:proofErr w:type="spellStart"/>
      <w:r>
        <w:rPr>
          <w:sz w:val="24"/>
        </w:rPr>
        <w:t>Bliziotis</w:t>
      </w:r>
      <w:proofErr w:type="spellEnd"/>
      <w:r>
        <w:rPr>
          <w:sz w:val="24"/>
        </w:rPr>
        <w:t xml:space="preserve"> IA, </w:t>
      </w:r>
      <w:proofErr w:type="spellStart"/>
      <w:r>
        <w:rPr>
          <w:sz w:val="24"/>
        </w:rPr>
        <w:t>Kasiakou</w:t>
      </w:r>
      <w:proofErr w:type="spellEnd"/>
      <w:r>
        <w:rPr>
          <w:sz w:val="24"/>
        </w:rPr>
        <w:t xml:space="preserve"> SK, </w:t>
      </w:r>
      <w:proofErr w:type="spellStart"/>
      <w:r>
        <w:rPr>
          <w:sz w:val="24"/>
        </w:rPr>
        <w:t>Kapaskelis</w:t>
      </w:r>
      <w:proofErr w:type="spellEnd"/>
      <w:r>
        <w:rPr>
          <w:sz w:val="24"/>
        </w:rPr>
        <w:t xml:space="preserve"> AM, </w:t>
      </w:r>
      <w:proofErr w:type="spellStart"/>
      <w:r>
        <w:rPr>
          <w:sz w:val="24"/>
        </w:rPr>
        <w:t>Falagas</w:t>
      </w:r>
      <w:proofErr w:type="spellEnd"/>
      <w:r>
        <w:rPr>
          <w:sz w:val="24"/>
        </w:rPr>
        <w:t xml:space="preserve"> ME. Mesh related infection after</w:t>
      </w:r>
      <w:r>
        <w:rPr>
          <w:spacing w:val="-36"/>
          <w:sz w:val="24"/>
        </w:rPr>
        <w:t xml:space="preserve"> </w:t>
      </w:r>
      <w:r>
        <w:rPr>
          <w:sz w:val="24"/>
        </w:rPr>
        <w:t xml:space="preserve">hernia repair: case report of an </w:t>
      </w:r>
      <w:proofErr w:type="spellStart"/>
      <w:r>
        <w:rPr>
          <w:sz w:val="24"/>
        </w:rPr>
        <w:t>emergencing</w:t>
      </w:r>
      <w:proofErr w:type="spellEnd"/>
      <w:r>
        <w:rPr>
          <w:sz w:val="24"/>
        </w:rPr>
        <w:t xml:space="preserve"> type of foreign body related infection. </w:t>
      </w:r>
      <w:r w:rsidRPr="00BE1B64">
        <w:rPr>
          <w:iCs/>
          <w:sz w:val="24"/>
        </w:rPr>
        <w:t>Infection</w:t>
      </w:r>
      <w:r w:rsidR="00BE1B64">
        <w:rPr>
          <w:iCs/>
          <w:sz w:val="24"/>
        </w:rPr>
        <w:t>.</w:t>
      </w:r>
      <w:r>
        <w:rPr>
          <w:i/>
          <w:sz w:val="24"/>
        </w:rPr>
        <w:t xml:space="preserve"> </w:t>
      </w:r>
      <w:r>
        <w:rPr>
          <w:sz w:val="24"/>
        </w:rPr>
        <w:t>2006; 34:46–48</w:t>
      </w:r>
    </w:p>
    <w:p w:rsidR="008E1186" w:rsidRDefault="008E1186">
      <w:pPr>
        <w:pStyle w:val="BodyText"/>
        <w:spacing w:before="8"/>
      </w:pPr>
    </w:p>
    <w:p w:rsidR="008E1186" w:rsidRDefault="00066E3B">
      <w:pPr>
        <w:pStyle w:val="ListParagraph"/>
        <w:numPr>
          <w:ilvl w:val="0"/>
          <w:numId w:val="1"/>
        </w:numPr>
        <w:tabs>
          <w:tab w:val="left" w:pos="1676"/>
        </w:tabs>
        <w:spacing w:line="242" w:lineRule="auto"/>
        <w:ind w:right="1119" w:firstLine="0"/>
        <w:rPr>
          <w:sz w:val="24"/>
        </w:rPr>
      </w:pPr>
      <w:proofErr w:type="spellStart"/>
      <w:r>
        <w:rPr>
          <w:sz w:val="24"/>
        </w:rPr>
        <w:t>Trunzo</w:t>
      </w:r>
      <w:proofErr w:type="spellEnd"/>
      <w:r>
        <w:rPr>
          <w:spacing w:val="-2"/>
          <w:sz w:val="24"/>
        </w:rPr>
        <w:t xml:space="preserve"> </w:t>
      </w:r>
      <w:r>
        <w:rPr>
          <w:sz w:val="24"/>
        </w:rPr>
        <w:t>JA,</w:t>
      </w:r>
      <w:r>
        <w:rPr>
          <w:spacing w:val="-2"/>
          <w:sz w:val="24"/>
        </w:rPr>
        <w:t xml:space="preserve"> </w:t>
      </w:r>
      <w:proofErr w:type="spellStart"/>
      <w:r>
        <w:rPr>
          <w:sz w:val="24"/>
        </w:rPr>
        <w:t>Ponsky</w:t>
      </w:r>
      <w:proofErr w:type="spellEnd"/>
      <w:r>
        <w:rPr>
          <w:spacing w:val="-1"/>
          <w:sz w:val="24"/>
        </w:rPr>
        <w:t xml:space="preserve"> </w:t>
      </w:r>
      <w:r>
        <w:rPr>
          <w:sz w:val="24"/>
        </w:rPr>
        <w:t>JL,</w:t>
      </w:r>
      <w:r>
        <w:rPr>
          <w:spacing w:val="-2"/>
          <w:sz w:val="24"/>
        </w:rPr>
        <w:t xml:space="preserve"> </w:t>
      </w:r>
      <w:proofErr w:type="spellStart"/>
      <w:r>
        <w:rPr>
          <w:sz w:val="24"/>
        </w:rPr>
        <w:t>Jin</w:t>
      </w:r>
      <w:proofErr w:type="spellEnd"/>
      <w:r>
        <w:rPr>
          <w:spacing w:val="-2"/>
          <w:sz w:val="24"/>
        </w:rPr>
        <w:t xml:space="preserve"> </w:t>
      </w:r>
      <w:r>
        <w:rPr>
          <w:sz w:val="24"/>
        </w:rPr>
        <w:t>J</w:t>
      </w:r>
      <w:r>
        <w:rPr>
          <w:spacing w:val="-1"/>
          <w:sz w:val="24"/>
        </w:rPr>
        <w:t xml:space="preserve"> </w:t>
      </w:r>
      <w:r>
        <w:rPr>
          <w:sz w:val="24"/>
        </w:rPr>
        <w:t>et</w:t>
      </w:r>
      <w:r>
        <w:rPr>
          <w:spacing w:val="-2"/>
          <w:sz w:val="24"/>
        </w:rPr>
        <w:t xml:space="preserve"> </w:t>
      </w:r>
      <w:r>
        <w:rPr>
          <w:sz w:val="24"/>
        </w:rPr>
        <w:t>al.</w:t>
      </w:r>
      <w:r>
        <w:rPr>
          <w:spacing w:val="-15"/>
          <w:sz w:val="24"/>
        </w:rPr>
        <w:t xml:space="preserve"> </w:t>
      </w:r>
      <w:r>
        <w:rPr>
          <w:sz w:val="24"/>
        </w:rPr>
        <w:t>A</w:t>
      </w:r>
      <w:r>
        <w:rPr>
          <w:spacing w:val="-15"/>
          <w:sz w:val="24"/>
        </w:rPr>
        <w:t xml:space="preserve"> </w:t>
      </w:r>
      <w:r>
        <w:rPr>
          <w:sz w:val="24"/>
        </w:rPr>
        <w:t>novel</w:t>
      </w:r>
      <w:r>
        <w:rPr>
          <w:spacing w:val="-2"/>
          <w:sz w:val="24"/>
        </w:rPr>
        <w:t xml:space="preserve"> </w:t>
      </w:r>
      <w:r>
        <w:rPr>
          <w:sz w:val="24"/>
        </w:rPr>
        <w:t>approach</w:t>
      </w:r>
      <w:r>
        <w:rPr>
          <w:spacing w:val="-1"/>
          <w:sz w:val="24"/>
        </w:rPr>
        <w:t xml:space="preserve"> </w:t>
      </w:r>
      <w:r>
        <w:rPr>
          <w:sz w:val="24"/>
        </w:rPr>
        <w:t>for</w:t>
      </w:r>
      <w:r>
        <w:rPr>
          <w:spacing w:val="-2"/>
          <w:sz w:val="24"/>
        </w:rPr>
        <w:t xml:space="preserve"> </w:t>
      </w:r>
      <w:r>
        <w:rPr>
          <w:sz w:val="24"/>
        </w:rPr>
        <w:t>salvaging</w:t>
      </w:r>
      <w:r>
        <w:rPr>
          <w:spacing w:val="-2"/>
          <w:sz w:val="24"/>
        </w:rPr>
        <w:t xml:space="preserve"> </w:t>
      </w:r>
      <w:r>
        <w:rPr>
          <w:sz w:val="24"/>
        </w:rPr>
        <w:t>infected</w:t>
      </w:r>
      <w:r>
        <w:rPr>
          <w:spacing w:val="-1"/>
          <w:sz w:val="24"/>
        </w:rPr>
        <w:t xml:space="preserve"> </w:t>
      </w:r>
      <w:r>
        <w:rPr>
          <w:sz w:val="24"/>
        </w:rPr>
        <w:t>prosthetic</w:t>
      </w:r>
      <w:r>
        <w:rPr>
          <w:spacing w:val="-3"/>
          <w:sz w:val="24"/>
        </w:rPr>
        <w:t xml:space="preserve"> </w:t>
      </w:r>
      <w:r>
        <w:rPr>
          <w:sz w:val="24"/>
        </w:rPr>
        <w:t xml:space="preserve">mesh after ventral hernia </w:t>
      </w:r>
      <w:r>
        <w:rPr>
          <w:spacing w:val="-3"/>
          <w:sz w:val="24"/>
        </w:rPr>
        <w:t xml:space="preserve">repair. </w:t>
      </w:r>
      <w:r w:rsidRPr="00BE1B64">
        <w:rPr>
          <w:iCs/>
          <w:sz w:val="24"/>
        </w:rPr>
        <w:t>Hernia</w:t>
      </w:r>
      <w:r w:rsidR="00BE1B64">
        <w:rPr>
          <w:iCs/>
          <w:sz w:val="24"/>
        </w:rPr>
        <w:t>.</w:t>
      </w:r>
      <w:r>
        <w:rPr>
          <w:i/>
          <w:sz w:val="24"/>
        </w:rPr>
        <w:t xml:space="preserve"> </w:t>
      </w:r>
      <w:r>
        <w:rPr>
          <w:sz w:val="24"/>
        </w:rPr>
        <w:t>2009; 13:545–549</w:t>
      </w:r>
      <w:r w:rsidR="007E568C">
        <w:rPr>
          <w:sz w:val="24"/>
        </w:rPr>
        <w:t>.</w:t>
      </w:r>
    </w:p>
    <w:p w:rsidR="008E1186" w:rsidRDefault="008E1186">
      <w:pPr>
        <w:spacing w:line="242" w:lineRule="auto"/>
        <w:rPr>
          <w:sz w:val="24"/>
        </w:rPr>
        <w:sectPr w:rsidR="008E1186">
          <w:pgSz w:w="12240" w:h="15840"/>
          <w:pgMar w:top="1380" w:right="760" w:bottom="280" w:left="0" w:header="720" w:footer="720" w:gutter="0"/>
          <w:cols w:space="720"/>
        </w:sectPr>
      </w:pPr>
    </w:p>
    <w:p w:rsidR="008E1186" w:rsidRDefault="008E1186">
      <w:pPr>
        <w:pStyle w:val="BodyText"/>
        <w:spacing w:before="10"/>
        <w:rPr>
          <w:sz w:val="13"/>
        </w:rPr>
      </w:pPr>
    </w:p>
    <w:p w:rsidR="008E1186" w:rsidRDefault="00066E3B">
      <w:pPr>
        <w:pStyle w:val="ListParagraph"/>
        <w:numPr>
          <w:ilvl w:val="0"/>
          <w:numId w:val="1"/>
        </w:numPr>
        <w:tabs>
          <w:tab w:val="left" w:pos="1800"/>
        </w:tabs>
        <w:spacing w:before="56" w:line="242" w:lineRule="auto"/>
        <w:ind w:right="710" w:firstLine="0"/>
        <w:jc w:val="both"/>
        <w:rPr>
          <w:sz w:val="24"/>
        </w:rPr>
      </w:pPr>
      <w:proofErr w:type="spellStart"/>
      <w:r>
        <w:rPr>
          <w:sz w:val="24"/>
        </w:rPr>
        <w:t>Sadava</w:t>
      </w:r>
      <w:proofErr w:type="spellEnd"/>
      <w:r>
        <w:rPr>
          <w:sz w:val="24"/>
        </w:rPr>
        <w:t xml:space="preserve"> EE, </w:t>
      </w:r>
      <w:proofErr w:type="spellStart"/>
      <w:r>
        <w:rPr>
          <w:sz w:val="24"/>
        </w:rPr>
        <w:t>Krpata</w:t>
      </w:r>
      <w:proofErr w:type="spellEnd"/>
      <w:r>
        <w:rPr>
          <w:sz w:val="24"/>
        </w:rPr>
        <w:t xml:space="preserve"> DM, Gao </w:t>
      </w:r>
      <w:r>
        <w:rPr>
          <w:spacing w:val="-16"/>
          <w:sz w:val="24"/>
        </w:rPr>
        <w:t xml:space="preserve">Y, </w:t>
      </w:r>
      <w:proofErr w:type="spellStart"/>
      <w:r>
        <w:rPr>
          <w:sz w:val="24"/>
        </w:rPr>
        <w:t>Novitsky</w:t>
      </w:r>
      <w:proofErr w:type="spellEnd"/>
      <w:r>
        <w:rPr>
          <w:sz w:val="24"/>
        </w:rPr>
        <w:t xml:space="preserve"> </w:t>
      </w:r>
      <w:r>
        <w:rPr>
          <w:spacing w:val="-8"/>
          <w:sz w:val="24"/>
        </w:rPr>
        <w:t xml:space="preserve">YW, </w:t>
      </w:r>
      <w:r>
        <w:rPr>
          <w:sz w:val="24"/>
        </w:rPr>
        <w:t xml:space="preserve">Rosen MJ. Does presoaking synthetic mesh in antibiotic solution reduce mesh infections? An experimental </w:t>
      </w:r>
      <w:r>
        <w:rPr>
          <w:spacing w:val="-3"/>
          <w:sz w:val="24"/>
        </w:rPr>
        <w:t xml:space="preserve">study. </w:t>
      </w:r>
      <w:r w:rsidRPr="00BE1B64">
        <w:rPr>
          <w:iCs/>
          <w:sz w:val="24"/>
        </w:rPr>
        <w:t xml:space="preserve">J </w:t>
      </w:r>
      <w:proofErr w:type="spellStart"/>
      <w:r w:rsidRPr="00BE1B64">
        <w:rPr>
          <w:iCs/>
          <w:sz w:val="24"/>
        </w:rPr>
        <w:t>Gastr</w:t>
      </w:r>
      <w:proofErr w:type="spellEnd"/>
      <w:r w:rsidRPr="00BE1B64">
        <w:rPr>
          <w:iCs/>
          <w:sz w:val="24"/>
        </w:rPr>
        <w:t xml:space="preserve"> </w:t>
      </w:r>
      <w:r w:rsidRPr="00BE1B64">
        <w:rPr>
          <w:iCs/>
          <w:spacing w:val="-3"/>
          <w:sz w:val="24"/>
        </w:rPr>
        <w:t>Surg</w:t>
      </w:r>
      <w:r w:rsidR="00BE1B64">
        <w:rPr>
          <w:iCs/>
          <w:spacing w:val="-3"/>
          <w:sz w:val="24"/>
        </w:rPr>
        <w:t>.</w:t>
      </w:r>
      <w:r>
        <w:rPr>
          <w:i/>
          <w:spacing w:val="-3"/>
          <w:sz w:val="24"/>
        </w:rPr>
        <w:t xml:space="preserve"> </w:t>
      </w:r>
      <w:r>
        <w:rPr>
          <w:sz w:val="24"/>
        </w:rPr>
        <w:t>2013</w:t>
      </w:r>
      <w:r>
        <w:rPr>
          <w:spacing w:val="-26"/>
          <w:sz w:val="24"/>
        </w:rPr>
        <w:t xml:space="preserve"> </w:t>
      </w:r>
      <w:r>
        <w:rPr>
          <w:sz w:val="24"/>
        </w:rPr>
        <w:t>Mar;17(3): 562-8</w:t>
      </w:r>
      <w:r w:rsidR="007E568C">
        <w:rPr>
          <w:sz w:val="24"/>
        </w:rPr>
        <w:t>.</w:t>
      </w:r>
    </w:p>
    <w:p w:rsidR="008E1186" w:rsidRDefault="008E1186">
      <w:pPr>
        <w:pStyle w:val="BodyText"/>
        <w:spacing w:before="8"/>
      </w:pPr>
    </w:p>
    <w:p w:rsidR="008E1186" w:rsidRDefault="00066E3B">
      <w:pPr>
        <w:pStyle w:val="ListParagraph"/>
        <w:numPr>
          <w:ilvl w:val="0"/>
          <w:numId w:val="1"/>
        </w:numPr>
        <w:tabs>
          <w:tab w:val="left" w:pos="1792"/>
        </w:tabs>
        <w:spacing w:line="242" w:lineRule="auto"/>
        <w:ind w:right="863" w:firstLine="0"/>
        <w:rPr>
          <w:sz w:val="24"/>
        </w:rPr>
      </w:pPr>
      <w:r>
        <w:rPr>
          <w:sz w:val="24"/>
        </w:rPr>
        <w:t xml:space="preserve">Perez-Kohler, B., Garcia-Moreno, </w:t>
      </w:r>
      <w:r>
        <w:rPr>
          <w:spacing w:val="-7"/>
          <w:sz w:val="24"/>
        </w:rPr>
        <w:t xml:space="preserve">F., </w:t>
      </w:r>
      <w:proofErr w:type="spellStart"/>
      <w:r>
        <w:rPr>
          <w:sz w:val="24"/>
        </w:rPr>
        <w:t>Bayon</w:t>
      </w:r>
      <w:proofErr w:type="spellEnd"/>
      <w:r>
        <w:rPr>
          <w:sz w:val="24"/>
        </w:rPr>
        <w:t xml:space="preserve">, </w:t>
      </w:r>
      <w:r>
        <w:rPr>
          <w:spacing w:val="-11"/>
          <w:sz w:val="24"/>
        </w:rPr>
        <w:t xml:space="preserve">Y., </w:t>
      </w:r>
      <w:r>
        <w:rPr>
          <w:sz w:val="24"/>
        </w:rPr>
        <w:t xml:space="preserve">Pasqual, G., and </w:t>
      </w:r>
      <w:proofErr w:type="spellStart"/>
      <w:r>
        <w:rPr>
          <w:sz w:val="24"/>
        </w:rPr>
        <w:t>Bellon</w:t>
      </w:r>
      <w:proofErr w:type="spellEnd"/>
      <w:r>
        <w:rPr>
          <w:sz w:val="24"/>
        </w:rPr>
        <w:t xml:space="preserve">, J. M. Inhibition of </w:t>
      </w:r>
      <w:r>
        <w:rPr>
          <w:i/>
          <w:sz w:val="24"/>
        </w:rPr>
        <w:t xml:space="preserve">Staphylococcus aureus </w:t>
      </w:r>
      <w:r>
        <w:rPr>
          <w:sz w:val="24"/>
        </w:rPr>
        <w:t xml:space="preserve">adhesion to the surface of a reticular heavyweight polypropylene mesh soaked in a combination of chlorhexidine and allicin: an in vitro </w:t>
      </w:r>
      <w:r>
        <w:rPr>
          <w:spacing w:val="-3"/>
          <w:sz w:val="24"/>
        </w:rPr>
        <w:t xml:space="preserve">study. </w:t>
      </w:r>
      <w:proofErr w:type="spellStart"/>
      <w:r w:rsidRPr="00BE1B64">
        <w:rPr>
          <w:iCs/>
          <w:sz w:val="24"/>
        </w:rPr>
        <w:t>PLoS</w:t>
      </w:r>
      <w:proofErr w:type="spellEnd"/>
      <w:r w:rsidRPr="00BE1B64">
        <w:rPr>
          <w:iCs/>
          <w:sz w:val="24"/>
        </w:rPr>
        <w:t xml:space="preserve"> ONE</w:t>
      </w:r>
      <w:r w:rsidR="00BE1B64">
        <w:rPr>
          <w:iCs/>
          <w:sz w:val="24"/>
        </w:rPr>
        <w:t>.</w:t>
      </w:r>
      <w:r>
        <w:rPr>
          <w:i/>
          <w:spacing w:val="-14"/>
          <w:sz w:val="24"/>
        </w:rPr>
        <w:t xml:space="preserve"> </w:t>
      </w:r>
      <w:r>
        <w:rPr>
          <w:sz w:val="24"/>
        </w:rPr>
        <w:t>2015;10(5)</w:t>
      </w:r>
      <w:r w:rsidR="007E568C">
        <w:rPr>
          <w:sz w:val="24"/>
        </w:rPr>
        <w:t>.</w:t>
      </w:r>
    </w:p>
    <w:p w:rsidR="008E1186" w:rsidRDefault="008E1186">
      <w:pPr>
        <w:pStyle w:val="BodyText"/>
        <w:spacing w:before="8"/>
      </w:pPr>
    </w:p>
    <w:p w:rsidR="008E1186" w:rsidRDefault="00066E3B">
      <w:pPr>
        <w:pStyle w:val="ListParagraph"/>
        <w:numPr>
          <w:ilvl w:val="0"/>
          <w:numId w:val="1"/>
        </w:numPr>
        <w:tabs>
          <w:tab w:val="left" w:pos="1800"/>
        </w:tabs>
        <w:spacing w:line="242" w:lineRule="auto"/>
        <w:ind w:right="759" w:firstLine="0"/>
        <w:rPr>
          <w:sz w:val="24"/>
        </w:rPr>
      </w:pPr>
      <w:proofErr w:type="spellStart"/>
      <w:r>
        <w:rPr>
          <w:sz w:val="24"/>
        </w:rPr>
        <w:t>Harth</w:t>
      </w:r>
      <w:proofErr w:type="spellEnd"/>
      <w:r>
        <w:rPr>
          <w:sz w:val="24"/>
        </w:rPr>
        <w:t xml:space="preserve">, K. C., Rosen, M. J., </w:t>
      </w:r>
      <w:proofErr w:type="spellStart"/>
      <w:r>
        <w:rPr>
          <w:sz w:val="24"/>
        </w:rPr>
        <w:t>Thatiparti</w:t>
      </w:r>
      <w:proofErr w:type="spellEnd"/>
      <w:r>
        <w:rPr>
          <w:sz w:val="24"/>
        </w:rPr>
        <w:t xml:space="preserve">, </w:t>
      </w:r>
      <w:r>
        <w:rPr>
          <w:spacing w:val="-9"/>
          <w:sz w:val="24"/>
        </w:rPr>
        <w:t xml:space="preserve">T. </w:t>
      </w:r>
      <w:r>
        <w:rPr>
          <w:sz w:val="24"/>
        </w:rPr>
        <w:t xml:space="preserve">R., Jacobs, M. R., </w:t>
      </w:r>
      <w:proofErr w:type="spellStart"/>
      <w:r>
        <w:rPr>
          <w:sz w:val="24"/>
        </w:rPr>
        <w:t>Halaweish</w:t>
      </w:r>
      <w:proofErr w:type="spellEnd"/>
      <w:r>
        <w:rPr>
          <w:sz w:val="24"/>
        </w:rPr>
        <w:t xml:space="preserve">, I., </w:t>
      </w:r>
      <w:proofErr w:type="spellStart"/>
      <w:r>
        <w:rPr>
          <w:sz w:val="24"/>
        </w:rPr>
        <w:t>Bajaksouzian</w:t>
      </w:r>
      <w:proofErr w:type="spellEnd"/>
      <w:r>
        <w:rPr>
          <w:sz w:val="24"/>
        </w:rPr>
        <w:t xml:space="preserve">, S., </w:t>
      </w:r>
      <w:proofErr w:type="spellStart"/>
      <w:r>
        <w:rPr>
          <w:sz w:val="24"/>
        </w:rPr>
        <w:t>Furlan</w:t>
      </w:r>
      <w:proofErr w:type="spellEnd"/>
      <w:r>
        <w:rPr>
          <w:sz w:val="24"/>
        </w:rPr>
        <w:t>,</w:t>
      </w:r>
      <w:r>
        <w:rPr>
          <w:spacing w:val="-2"/>
          <w:sz w:val="24"/>
        </w:rPr>
        <w:t xml:space="preserve"> </w:t>
      </w:r>
      <w:r>
        <w:rPr>
          <w:sz w:val="24"/>
        </w:rPr>
        <w:t>J.,</w:t>
      </w:r>
      <w:r>
        <w:rPr>
          <w:spacing w:val="-1"/>
          <w:sz w:val="24"/>
        </w:rPr>
        <w:t xml:space="preserve"> </w:t>
      </w:r>
      <w:r>
        <w:rPr>
          <w:sz w:val="24"/>
        </w:rPr>
        <w:t>and</w:t>
      </w:r>
      <w:r>
        <w:rPr>
          <w:spacing w:val="-2"/>
          <w:sz w:val="24"/>
        </w:rPr>
        <w:t xml:space="preserve"> </w:t>
      </w:r>
      <w:proofErr w:type="spellStart"/>
      <w:r>
        <w:rPr>
          <w:sz w:val="24"/>
        </w:rPr>
        <w:t>Recum</w:t>
      </w:r>
      <w:proofErr w:type="spellEnd"/>
      <w:r>
        <w:rPr>
          <w:sz w:val="24"/>
        </w:rPr>
        <w:t>,</w:t>
      </w:r>
      <w:r>
        <w:rPr>
          <w:spacing w:val="-1"/>
          <w:sz w:val="24"/>
        </w:rPr>
        <w:t xml:space="preserve"> </w:t>
      </w:r>
      <w:r>
        <w:rPr>
          <w:sz w:val="24"/>
        </w:rPr>
        <w:t>H.</w:t>
      </w:r>
      <w:r>
        <w:rPr>
          <w:spacing w:val="-15"/>
          <w:sz w:val="24"/>
        </w:rPr>
        <w:t xml:space="preserve"> </w:t>
      </w:r>
      <w:r>
        <w:rPr>
          <w:sz w:val="24"/>
        </w:rPr>
        <w:t>A.</w:t>
      </w:r>
      <w:r>
        <w:rPr>
          <w:spacing w:val="-16"/>
          <w:sz w:val="24"/>
        </w:rPr>
        <w:t xml:space="preserve"> </w:t>
      </w:r>
      <w:r>
        <w:rPr>
          <w:sz w:val="24"/>
        </w:rPr>
        <w:t>Antibiotic-releasing</w:t>
      </w:r>
      <w:r>
        <w:rPr>
          <w:spacing w:val="-1"/>
          <w:sz w:val="24"/>
        </w:rPr>
        <w:t xml:space="preserve"> </w:t>
      </w:r>
      <w:r>
        <w:rPr>
          <w:sz w:val="24"/>
        </w:rPr>
        <w:t>mesh</w:t>
      </w:r>
      <w:r>
        <w:rPr>
          <w:spacing w:val="-1"/>
          <w:sz w:val="24"/>
        </w:rPr>
        <w:t xml:space="preserve"> </w:t>
      </w:r>
      <w:r>
        <w:rPr>
          <w:sz w:val="24"/>
        </w:rPr>
        <w:t>coating</w:t>
      </w:r>
      <w:r>
        <w:rPr>
          <w:spacing w:val="-2"/>
          <w:sz w:val="24"/>
        </w:rPr>
        <w:t xml:space="preserve"> </w:t>
      </w:r>
      <w:r>
        <w:rPr>
          <w:sz w:val="24"/>
        </w:rPr>
        <w:t>to</w:t>
      </w:r>
      <w:r>
        <w:rPr>
          <w:spacing w:val="-1"/>
          <w:sz w:val="24"/>
        </w:rPr>
        <w:t xml:space="preserve"> </w:t>
      </w:r>
      <w:r>
        <w:rPr>
          <w:sz w:val="24"/>
        </w:rPr>
        <w:t>reduce</w:t>
      </w:r>
      <w:r>
        <w:rPr>
          <w:spacing w:val="-3"/>
          <w:sz w:val="24"/>
        </w:rPr>
        <w:t xml:space="preserve"> </w:t>
      </w:r>
      <w:r>
        <w:rPr>
          <w:sz w:val="24"/>
        </w:rPr>
        <w:t>prosthetic</w:t>
      </w:r>
      <w:r>
        <w:rPr>
          <w:spacing w:val="-2"/>
          <w:sz w:val="24"/>
        </w:rPr>
        <w:t xml:space="preserve"> </w:t>
      </w:r>
      <w:r>
        <w:rPr>
          <w:sz w:val="24"/>
        </w:rPr>
        <w:t>sepsis:</w:t>
      </w:r>
      <w:r>
        <w:rPr>
          <w:spacing w:val="-15"/>
          <w:sz w:val="24"/>
        </w:rPr>
        <w:t xml:space="preserve"> </w:t>
      </w:r>
      <w:r>
        <w:rPr>
          <w:sz w:val="24"/>
        </w:rPr>
        <w:t>An</w:t>
      </w:r>
      <w:r>
        <w:rPr>
          <w:spacing w:val="-2"/>
          <w:sz w:val="24"/>
        </w:rPr>
        <w:t xml:space="preserve"> </w:t>
      </w:r>
      <w:r>
        <w:rPr>
          <w:sz w:val="24"/>
        </w:rPr>
        <w:t xml:space="preserve">in vivo </w:t>
      </w:r>
      <w:r>
        <w:rPr>
          <w:spacing w:val="-3"/>
          <w:sz w:val="24"/>
        </w:rPr>
        <w:t xml:space="preserve">study. </w:t>
      </w:r>
      <w:r w:rsidRPr="00BE1B64">
        <w:rPr>
          <w:iCs/>
          <w:sz w:val="24"/>
        </w:rPr>
        <w:t xml:space="preserve">J </w:t>
      </w:r>
      <w:r w:rsidRPr="00BE1B64">
        <w:rPr>
          <w:iCs/>
          <w:spacing w:val="-3"/>
          <w:sz w:val="24"/>
        </w:rPr>
        <w:t xml:space="preserve">Surg </w:t>
      </w:r>
      <w:r w:rsidRPr="00BE1B64">
        <w:rPr>
          <w:iCs/>
          <w:sz w:val="24"/>
        </w:rPr>
        <w:t>Res</w:t>
      </w:r>
      <w:r w:rsidR="00BE1B64">
        <w:rPr>
          <w:iCs/>
          <w:sz w:val="24"/>
        </w:rPr>
        <w:t>.</w:t>
      </w:r>
      <w:r>
        <w:rPr>
          <w:i/>
          <w:sz w:val="24"/>
        </w:rPr>
        <w:t xml:space="preserve"> </w:t>
      </w:r>
      <w:r>
        <w:rPr>
          <w:sz w:val="24"/>
        </w:rPr>
        <w:t>2010; 163,</w:t>
      </w:r>
      <w:r>
        <w:rPr>
          <w:spacing w:val="4"/>
          <w:sz w:val="24"/>
        </w:rPr>
        <w:t xml:space="preserve"> </w:t>
      </w:r>
      <w:r>
        <w:rPr>
          <w:sz w:val="24"/>
        </w:rPr>
        <w:t>337-343.</w:t>
      </w:r>
    </w:p>
    <w:p w:rsidR="008E1186" w:rsidRDefault="008E1186">
      <w:pPr>
        <w:pStyle w:val="BodyText"/>
        <w:spacing w:before="7"/>
      </w:pPr>
    </w:p>
    <w:p w:rsidR="008E1186" w:rsidRDefault="00066E3B">
      <w:pPr>
        <w:pStyle w:val="ListParagraph"/>
        <w:numPr>
          <w:ilvl w:val="0"/>
          <w:numId w:val="1"/>
        </w:numPr>
        <w:tabs>
          <w:tab w:val="left" w:pos="1800"/>
        </w:tabs>
        <w:spacing w:before="1" w:line="242" w:lineRule="auto"/>
        <w:ind w:right="957" w:firstLine="0"/>
        <w:rPr>
          <w:sz w:val="24"/>
        </w:rPr>
      </w:pPr>
      <w:r>
        <w:rPr>
          <w:sz w:val="24"/>
        </w:rPr>
        <w:t xml:space="preserve">Frankel TL, Burney RE. </w:t>
      </w:r>
      <w:r w:rsidR="00600DD1">
        <w:rPr>
          <w:sz w:val="24"/>
        </w:rPr>
        <w:t xml:space="preserve">Inguinal Hernia </w:t>
      </w:r>
      <w:r w:rsidR="00600DD1">
        <w:rPr>
          <w:spacing w:val="-3"/>
          <w:sz w:val="24"/>
        </w:rPr>
        <w:t>Repair</w:t>
      </w:r>
      <w:r w:rsidR="00600DD1">
        <w:rPr>
          <w:spacing w:val="-3"/>
          <w:sz w:val="24"/>
        </w:rPr>
        <w:t>.</w:t>
      </w:r>
      <w:r w:rsidR="00600DD1">
        <w:rPr>
          <w:sz w:val="24"/>
        </w:rPr>
        <w:t xml:space="preserve"> In: Minter RM, Doherty GM. eds. Lange Current Procedures: Surgery</w:t>
      </w:r>
      <w:r w:rsidR="00600DD1">
        <w:rPr>
          <w:sz w:val="24"/>
        </w:rPr>
        <w:t>.</w:t>
      </w:r>
      <w:r w:rsidR="00600DD1">
        <w:rPr>
          <w:sz w:val="24"/>
        </w:rPr>
        <w:t xml:space="preserve"> </w:t>
      </w:r>
      <w:r>
        <w:rPr>
          <w:sz w:val="24"/>
        </w:rPr>
        <w:t xml:space="preserve">New </w:t>
      </w:r>
      <w:r>
        <w:rPr>
          <w:spacing w:val="-5"/>
          <w:sz w:val="24"/>
        </w:rPr>
        <w:t xml:space="preserve">York, </w:t>
      </w:r>
      <w:r>
        <w:rPr>
          <w:spacing w:val="-8"/>
          <w:sz w:val="24"/>
        </w:rPr>
        <w:t xml:space="preserve">NY: </w:t>
      </w:r>
      <w:r>
        <w:rPr>
          <w:sz w:val="24"/>
        </w:rPr>
        <w:t>McGraw-Hill;</w:t>
      </w:r>
      <w:r>
        <w:rPr>
          <w:spacing w:val="-2"/>
          <w:sz w:val="24"/>
        </w:rPr>
        <w:t xml:space="preserve"> </w:t>
      </w:r>
      <w:r>
        <w:rPr>
          <w:sz w:val="24"/>
        </w:rPr>
        <w:t>2010</w:t>
      </w:r>
      <w:r w:rsidR="00600DD1">
        <w:rPr>
          <w:sz w:val="24"/>
        </w:rPr>
        <w:t xml:space="preserve">. </w:t>
      </w:r>
      <w:r w:rsidR="00600DD1">
        <w:rPr>
          <w:sz w:val="24"/>
        </w:rPr>
        <w:t>Chapter 40.</w:t>
      </w:r>
    </w:p>
    <w:p w:rsidR="008E1186" w:rsidRDefault="008E1186">
      <w:pPr>
        <w:pStyle w:val="BodyText"/>
        <w:spacing w:before="6"/>
      </w:pPr>
    </w:p>
    <w:p w:rsidR="008E1186" w:rsidRPr="007E568C" w:rsidRDefault="00066E3B" w:rsidP="007E568C">
      <w:pPr>
        <w:pStyle w:val="ListParagraph"/>
        <w:numPr>
          <w:ilvl w:val="0"/>
          <w:numId w:val="1"/>
        </w:numPr>
        <w:tabs>
          <w:tab w:val="left" w:pos="1796"/>
        </w:tabs>
        <w:spacing w:before="8" w:line="242" w:lineRule="auto"/>
        <w:ind w:right="910" w:firstLine="0"/>
        <w:jc w:val="both"/>
      </w:pPr>
      <w:proofErr w:type="spellStart"/>
      <w:r>
        <w:rPr>
          <w:sz w:val="24"/>
        </w:rPr>
        <w:t>Gomathi</w:t>
      </w:r>
      <w:proofErr w:type="spellEnd"/>
      <w:r>
        <w:rPr>
          <w:sz w:val="24"/>
        </w:rPr>
        <w:t xml:space="preserve"> Shankar</w:t>
      </w:r>
      <w:r w:rsidR="007E568C">
        <w:rPr>
          <w:sz w:val="24"/>
        </w:rPr>
        <w:t xml:space="preserve"> V</w:t>
      </w:r>
      <w:r>
        <w:rPr>
          <w:sz w:val="24"/>
        </w:rPr>
        <w:t>, Srinivasan</w:t>
      </w:r>
      <w:r w:rsidR="007E568C">
        <w:rPr>
          <w:sz w:val="24"/>
        </w:rPr>
        <w:t xml:space="preserve"> K</w:t>
      </w:r>
      <w:r>
        <w:rPr>
          <w:sz w:val="24"/>
        </w:rPr>
        <w:t xml:space="preserve">, </w:t>
      </w:r>
      <w:proofErr w:type="spellStart"/>
      <w:r>
        <w:rPr>
          <w:sz w:val="24"/>
        </w:rPr>
        <w:t>Sarath</w:t>
      </w:r>
      <w:proofErr w:type="spellEnd"/>
      <w:r>
        <w:rPr>
          <w:sz w:val="24"/>
        </w:rPr>
        <w:t xml:space="preserve"> C</w:t>
      </w:r>
      <w:r w:rsidR="007E568C">
        <w:rPr>
          <w:sz w:val="24"/>
        </w:rPr>
        <w:t>,</w:t>
      </w:r>
      <w:r>
        <w:rPr>
          <w:sz w:val="24"/>
        </w:rPr>
        <w:t xml:space="preserve"> </w:t>
      </w:r>
      <w:proofErr w:type="spellStart"/>
      <w:r>
        <w:rPr>
          <w:sz w:val="24"/>
        </w:rPr>
        <w:t>Sistla</w:t>
      </w:r>
      <w:proofErr w:type="spellEnd"/>
      <w:r>
        <w:rPr>
          <w:sz w:val="24"/>
        </w:rPr>
        <w:t xml:space="preserve"> S</w:t>
      </w:r>
      <w:r w:rsidR="007E568C">
        <w:rPr>
          <w:sz w:val="24"/>
        </w:rPr>
        <w:t>,</w:t>
      </w:r>
      <w:r>
        <w:rPr>
          <w:sz w:val="24"/>
        </w:rPr>
        <w:t xml:space="preserve"> Jagdish</w:t>
      </w:r>
      <w:r w:rsidR="007E568C">
        <w:rPr>
          <w:sz w:val="24"/>
        </w:rPr>
        <w:t xml:space="preserve"> S.</w:t>
      </w:r>
      <w:r>
        <w:rPr>
          <w:sz w:val="24"/>
        </w:rPr>
        <w:t xml:space="preserve"> Prophylactic antibiotics in open mesh repair of inguinal hernia</w:t>
      </w:r>
      <w:r w:rsidR="007E568C">
        <w:rPr>
          <w:sz w:val="24"/>
        </w:rPr>
        <w:t>-</w:t>
      </w:r>
      <w:r>
        <w:rPr>
          <w:sz w:val="24"/>
        </w:rPr>
        <w:t>A randomized controlled trial</w:t>
      </w:r>
      <w:r w:rsidR="007E568C">
        <w:rPr>
          <w:sz w:val="24"/>
        </w:rPr>
        <w:t>.</w:t>
      </w:r>
      <w:r>
        <w:rPr>
          <w:sz w:val="24"/>
        </w:rPr>
        <w:t xml:space="preserve"> </w:t>
      </w:r>
      <w:r w:rsidRPr="007E568C">
        <w:rPr>
          <w:iCs/>
          <w:sz w:val="24"/>
        </w:rPr>
        <w:t xml:space="preserve">Int J </w:t>
      </w:r>
      <w:r w:rsidRPr="007E568C">
        <w:rPr>
          <w:iCs/>
          <w:spacing w:val="-3"/>
          <w:sz w:val="24"/>
        </w:rPr>
        <w:t>Surg</w:t>
      </w:r>
      <w:r w:rsidR="00BE1B64" w:rsidRPr="007E568C">
        <w:rPr>
          <w:iCs/>
          <w:spacing w:val="-3"/>
          <w:sz w:val="24"/>
        </w:rPr>
        <w:t>.</w:t>
      </w:r>
      <w:r w:rsidRPr="007E568C">
        <w:rPr>
          <w:i/>
          <w:spacing w:val="-3"/>
          <w:sz w:val="24"/>
        </w:rPr>
        <w:t xml:space="preserve"> </w:t>
      </w:r>
      <w:r w:rsidR="007E568C">
        <w:rPr>
          <w:sz w:val="24"/>
        </w:rPr>
        <w:t>2010</w:t>
      </w:r>
      <w:r w:rsidR="007E568C">
        <w:rPr>
          <w:sz w:val="24"/>
        </w:rPr>
        <w:t>; 8(6):444-447.</w:t>
      </w:r>
    </w:p>
    <w:p w:rsidR="007E568C" w:rsidRDefault="007E568C" w:rsidP="007E568C">
      <w:pPr>
        <w:pStyle w:val="ListParagraph"/>
      </w:pPr>
    </w:p>
    <w:p w:rsidR="007E568C" w:rsidRDefault="007E568C" w:rsidP="007E568C">
      <w:pPr>
        <w:pStyle w:val="ListParagraph"/>
        <w:tabs>
          <w:tab w:val="left" w:pos="1796"/>
        </w:tabs>
        <w:spacing w:before="8" w:line="242" w:lineRule="auto"/>
        <w:ind w:right="910"/>
        <w:jc w:val="both"/>
      </w:pPr>
    </w:p>
    <w:p w:rsidR="008E1186" w:rsidRDefault="00066E3B">
      <w:pPr>
        <w:pStyle w:val="ListParagraph"/>
        <w:numPr>
          <w:ilvl w:val="0"/>
          <w:numId w:val="1"/>
        </w:numPr>
        <w:tabs>
          <w:tab w:val="left" w:pos="1800"/>
        </w:tabs>
        <w:spacing w:line="242" w:lineRule="auto"/>
        <w:ind w:right="785" w:firstLine="0"/>
        <w:rPr>
          <w:sz w:val="24"/>
        </w:rPr>
      </w:pPr>
      <w:r>
        <w:rPr>
          <w:sz w:val="24"/>
        </w:rPr>
        <w:t xml:space="preserve">Stephenson, BM. Complications of open groin hernia </w:t>
      </w:r>
      <w:r>
        <w:rPr>
          <w:spacing w:val="-3"/>
          <w:sz w:val="24"/>
        </w:rPr>
        <w:t xml:space="preserve">repair. </w:t>
      </w:r>
      <w:r w:rsidRPr="00BE1B64">
        <w:rPr>
          <w:iCs/>
          <w:spacing w:val="-3"/>
          <w:sz w:val="24"/>
        </w:rPr>
        <w:t xml:space="preserve">Surg </w:t>
      </w:r>
      <w:r w:rsidRPr="00BE1B64">
        <w:rPr>
          <w:iCs/>
          <w:sz w:val="24"/>
        </w:rPr>
        <w:t>Clin North Am</w:t>
      </w:r>
      <w:r w:rsidR="00BE1B64">
        <w:rPr>
          <w:sz w:val="24"/>
        </w:rPr>
        <w:t>.</w:t>
      </w:r>
      <w:r>
        <w:rPr>
          <w:sz w:val="24"/>
        </w:rPr>
        <w:t xml:space="preserve"> </w:t>
      </w:r>
      <w:r w:rsidR="00C63ABE">
        <w:rPr>
          <w:sz w:val="24"/>
        </w:rPr>
        <w:t>2003</w:t>
      </w:r>
      <w:r w:rsidR="00C63ABE">
        <w:rPr>
          <w:sz w:val="24"/>
        </w:rPr>
        <w:t xml:space="preserve"> Oct;</w:t>
      </w:r>
      <w:r w:rsidR="00C63ABE">
        <w:rPr>
          <w:sz w:val="24"/>
        </w:rPr>
        <w:t xml:space="preserve"> </w:t>
      </w:r>
      <w:r>
        <w:rPr>
          <w:sz w:val="24"/>
        </w:rPr>
        <w:t>83</w:t>
      </w:r>
      <w:r w:rsidR="00C63ABE">
        <w:rPr>
          <w:sz w:val="24"/>
        </w:rPr>
        <w:t>(5):</w:t>
      </w:r>
      <w:r>
        <w:rPr>
          <w:sz w:val="24"/>
        </w:rPr>
        <w:t>1255-1278</w:t>
      </w:r>
      <w:r w:rsidR="007E568C">
        <w:rPr>
          <w:sz w:val="24"/>
        </w:rPr>
        <w:t>.</w:t>
      </w:r>
    </w:p>
    <w:p w:rsidR="008E1186" w:rsidRDefault="008E1186">
      <w:pPr>
        <w:pStyle w:val="BodyText"/>
        <w:spacing w:before="6"/>
      </w:pPr>
    </w:p>
    <w:p w:rsidR="008E1186" w:rsidRDefault="00066E3B">
      <w:pPr>
        <w:pStyle w:val="ListParagraph"/>
        <w:numPr>
          <w:ilvl w:val="0"/>
          <w:numId w:val="1"/>
        </w:numPr>
        <w:tabs>
          <w:tab w:val="left" w:pos="1800"/>
        </w:tabs>
        <w:spacing w:before="1" w:line="242" w:lineRule="auto"/>
        <w:ind w:right="906" w:firstLine="0"/>
        <w:rPr>
          <w:sz w:val="24"/>
        </w:rPr>
      </w:pPr>
      <w:r>
        <w:rPr>
          <w:sz w:val="24"/>
        </w:rPr>
        <w:t xml:space="preserve">Kelly R. </w:t>
      </w:r>
      <w:proofErr w:type="spellStart"/>
      <w:r>
        <w:rPr>
          <w:sz w:val="24"/>
        </w:rPr>
        <w:t>Finan</w:t>
      </w:r>
      <w:proofErr w:type="spellEnd"/>
      <w:r>
        <w:rPr>
          <w:sz w:val="24"/>
        </w:rPr>
        <w:t xml:space="preserve">, Catherine C. </w:t>
      </w:r>
      <w:r>
        <w:rPr>
          <w:spacing w:val="-4"/>
          <w:sz w:val="24"/>
        </w:rPr>
        <w:t xml:space="preserve">Vick, </w:t>
      </w:r>
      <w:r>
        <w:rPr>
          <w:sz w:val="24"/>
        </w:rPr>
        <w:t xml:space="preserve">Catarina I. </w:t>
      </w:r>
      <w:proofErr w:type="spellStart"/>
      <w:r>
        <w:rPr>
          <w:sz w:val="24"/>
        </w:rPr>
        <w:t>Kiefe</w:t>
      </w:r>
      <w:proofErr w:type="spellEnd"/>
      <w:r>
        <w:rPr>
          <w:sz w:val="24"/>
        </w:rPr>
        <w:t xml:space="preserve">, Leigh </w:t>
      </w:r>
      <w:proofErr w:type="spellStart"/>
      <w:r>
        <w:rPr>
          <w:sz w:val="24"/>
        </w:rPr>
        <w:t>Neumayer</w:t>
      </w:r>
      <w:proofErr w:type="spellEnd"/>
      <w:r>
        <w:rPr>
          <w:sz w:val="24"/>
        </w:rPr>
        <w:t xml:space="preserve">, Mary </w:t>
      </w:r>
      <w:r>
        <w:rPr>
          <w:spacing w:val="-9"/>
          <w:sz w:val="24"/>
        </w:rPr>
        <w:t xml:space="preserve">T. </w:t>
      </w:r>
      <w:r>
        <w:rPr>
          <w:sz w:val="24"/>
        </w:rPr>
        <w:t>Hawn, Predictors of wound infection in ventral hernia repair</w:t>
      </w:r>
      <w:r w:rsidR="00A36055">
        <w:rPr>
          <w:sz w:val="24"/>
        </w:rPr>
        <w:t>.</w:t>
      </w:r>
      <w:r>
        <w:rPr>
          <w:sz w:val="24"/>
        </w:rPr>
        <w:t xml:space="preserve"> </w:t>
      </w:r>
      <w:r w:rsidRPr="00BE1B64">
        <w:rPr>
          <w:iCs/>
          <w:sz w:val="24"/>
        </w:rPr>
        <w:t xml:space="preserve">Am J of </w:t>
      </w:r>
      <w:r w:rsidRPr="00BE1B64">
        <w:rPr>
          <w:iCs/>
          <w:spacing w:val="-3"/>
          <w:sz w:val="24"/>
        </w:rPr>
        <w:t>Surg</w:t>
      </w:r>
      <w:r w:rsidR="00BE1B64">
        <w:rPr>
          <w:iCs/>
          <w:spacing w:val="-3"/>
          <w:sz w:val="24"/>
        </w:rPr>
        <w:t>.</w:t>
      </w:r>
      <w:r>
        <w:rPr>
          <w:i/>
          <w:spacing w:val="-3"/>
          <w:sz w:val="24"/>
        </w:rPr>
        <w:t xml:space="preserve"> </w:t>
      </w:r>
      <w:r>
        <w:rPr>
          <w:spacing w:val="-6"/>
          <w:sz w:val="24"/>
        </w:rPr>
        <w:t xml:space="preserve">Volume </w:t>
      </w:r>
      <w:r>
        <w:rPr>
          <w:sz w:val="24"/>
        </w:rPr>
        <w:t>190, Issue 5, 2005</w:t>
      </w:r>
      <w:r w:rsidR="00A36055">
        <w:rPr>
          <w:sz w:val="24"/>
        </w:rPr>
        <w:t>; 190(5):</w:t>
      </w:r>
      <w:r>
        <w:rPr>
          <w:sz w:val="24"/>
        </w:rPr>
        <w:t>676-681</w:t>
      </w:r>
      <w:r w:rsidR="007E568C">
        <w:rPr>
          <w:sz w:val="24"/>
        </w:rPr>
        <w:t>.</w:t>
      </w:r>
    </w:p>
    <w:p w:rsidR="008E1186" w:rsidRPr="00017D83" w:rsidRDefault="008E1186">
      <w:pPr>
        <w:pStyle w:val="BodyText"/>
        <w:spacing w:before="7"/>
      </w:pPr>
    </w:p>
    <w:p w:rsidR="008E1186" w:rsidRPr="00017D83" w:rsidRDefault="00066E3B" w:rsidP="00066E3B">
      <w:pPr>
        <w:pStyle w:val="ListParagraph"/>
        <w:numPr>
          <w:ilvl w:val="0"/>
          <w:numId w:val="1"/>
        </w:numPr>
        <w:tabs>
          <w:tab w:val="left" w:pos="1800"/>
        </w:tabs>
        <w:spacing w:line="276" w:lineRule="auto"/>
        <w:ind w:right="703" w:firstLine="0"/>
        <w:rPr>
          <w:rFonts w:ascii="Arial"/>
          <w:sz w:val="24"/>
          <w:szCs w:val="24"/>
        </w:rPr>
      </w:pPr>
      <w:proofErr w:type="spellStart"/>
      <w:r w:rsidRPr="00017D83">
        <w:rPr>
          <w:sz w:val="24"/>
          <w:szCs w:val="24"/>
        </w:rPr>
        <w:t>Aufenacker</w:t>
      </w:r>
      <w:proofErr w:type="spellEnd"/>
      <w:r w:rsidRPr="00017D83">
        <w:rPr>
          <w:sz w:val="24"/>
          <w:szCs w:val="24"/>
        </w:rPr>
        <w:t xml:space="preserve"> TJ, van </w:t>
      </w:r>
      <w:proofErr w:type="spellStart"/>
      <w:r w:rsidRPr="00017D83">
        <w:rPr>
          <w:sz w:val="24"/>
          <w:szCs w:val="24"/>
        </w:rPr>
        <w:t>Geldere</w:t>
      </w:r>
      <w:proofErr w:type="spellEnd"/>
      <w:r w:rsidRPr="00017D83">
        <w:rPr>
          <w:sz w:val="24"/>
          <w:szCs w:val="24"/>
        </w:rPr>
        <w:t xml:space="preserve"> D, van Mesdag </w:t>
      </w:r>
      <w:r w:rsidRPr="00017D83">
        <w:rPr>
          <w:spacing w:val="-8"/>
          <w:sz w:val="24"/>
          <w:szCs w:val="24"/>
        </w:rPr>
        <w:t xml:space="preserve">T, </w:t>
      </w:r>
      <w:r w:rsidRPr="00017D83">
        <w:rPr>
          <w:sz w:val="24"/>
          <w:szCs w:val="24"/>
        </w:rPr>
        <w:t>et al. The Role of Antibiotic Prophylaxis in Prevention of</w:t>
      </w:r>
      <w:r w:rsidRPr="00017D83">
        <w:rPr>
          <w:spacing w:val="-32"/>
          <w:sz w:val="24"/>
          <w:szCs w:val="24"/>
        </w:rPr>
        <w:t xml:space="preserve"> </w:t>
      </w:r>
      <w:r w:rsidRPr="00017D83">
        <w:rPr>
          <w:spacing w:val="-4"/>
          <w:sz w:val="24"/>
          <w:szCs w:val="24"/>
        </w:rPr>
        <w:t xml:space="preserve">Wound </w:t>
      </w:r>
      <w:r w:rsidRPr="00017D83">
        <w:rPr>
          <w:sz w:val="24"/>
          <w:szCs w:val="24"/>
        </w:rPr>
        <w:t xml:space="preserve">Infection After Lichtenstein Open Mesh Repair of Primary Inguinal Hernia: A Multicenter Double-Blind </w:t>
      </w:r>
      <w:proofErr w:type="spellStart"/>
      <w:r w:rsidR="003753DF">
        <w:rPr>
          <w:sz w:val="24"/>
          <w:szCs w:val="24"/>
        </w:rPr>
        <w:t>Randmoized</w:t>
      </w:r>
      <w:proofErr w:type="spellEnd"/>
      <w:r w:rsidR="003753DF">
        <w:rPr>
          <w:sz w:val="24"/>
          <w:szCs w:val="24"/>
        </w:rPr>
        <w:t xml:space="preserve"> Controlled Trial. Ann Surg. 2004 Dec</w:t>
      </w:r>
      <w:r w:rsidR="0085327F">
        <w:rPr>
          <w:sz w:val="24"/>
          <w:szCs w:val="24"/>
        </w:rPr>
        <w:t>;</w:t>
      </w:r>
      <w:r w:rsidR="003753DF">
        <w:rPr>
          <w:sz w:val="24"/>
          <w:szCs w:val="24"/>
        </w:rPr>
        <w:t xml:space="preserve"> 240(6):955-960</w:t>
      </w:r>
      <w:r w:rsidR="007E568C">
        <w:rPr>
          <w:sz w:val="24"/>
          <w:szCs w:val="24"/>
        </w:rPr>
        <w:t>.</w:t>
      </w:r>
    </w:p>
    <w:p w:rsidR="008E1186" w:rsidRDefault="008E1186">
      <w:pPr>
        <w:pStyle w:val="BodyText"/>
        <w:spacing w:before="9"/>
        <w:rPr>
          <w:rFonts w:ascii="Arial"/>
          <w:sz w:val="23"/>
        </w:rPr>
      </w:pPr>
    </w:p>
    <w:p w:rsidR="008E1186" w:rsidRDefault="008E1186">
      <w:pPr>
        <w:spacing w:line="247" w:lineRule="auto"/>
        <w:ind w:left="1440" w:right="1032"/>
        <w:rPr>
          <w:rFonts w:ascii="Arial"/>
        </w:rPr>
      </w:pPr>
    </w:p>
    <w:sectPr w:rsidR="008E1186">
      <w:pgSz w:w="12240" w:h="15840"/>
      <w:pgMar w:top="0" w:right="76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F04D51"/>
    <w:multiLevelType w:val="hybridMultilevel"/>
    <w:tmpl w:val="AC98E382"/>
    <w:lvl w:ilvl="0" w:tplc="87EA9D9C">
      <w:numFmt w:val="bullet"/>
      <w:lvlText w:val="*"/>
      <w:lvlJc w:val="left"/>
      <w:pPr>
        <w:ind w:left="1640" w:hanging="200"/>
      </w:pPr>
      <w:rPr>
        <w:rFonts w:ascii="Times New Roman" w:eastAsia="Times New Roman" w:hAnsi="Times New Roman" w:cs="Times New Roman" w:hint="default"/>
        <w:w w:val="100"/>
        <w:position w:val="-1"/>
        <w:sz w:val="24"/>
        <w:szCs w:val="24"/>
      </w:rPr>
    </w:lvl>
    <w:lvl w:ilvl="1" w:tplc="FEA47FAE">
      <w:numFmt w:val="bullet"/>
      <w:lvlText w:val="•"/>
      <w:lvlJc w:val="left"/>
      <w:pPr>
        <w:ind w:left="2624" w:hanging="200"/>
      </w:pPr>
      <w:rPr>
        <w:rFonts w:hint="default"/>
      </w:rPr>
    </w:lvl>
    <w:lvl w:ilvl="2" w:tplc="B5BEB0C0">
      <w:numFmt w:val="bullet"/>
      <w:lvlText w:val="•"/>
      <w:lvlJc w:val="left"/>
      <w:pPr>
        <w:ind w:left="3608" w:hanging="200"/>
      </w:pPr>
      <w:rPr>
        <w:rFonts w:hint="default"/>
      </w:rPr>
    </w:lvl>
    <w:lvl w:ilvl="3" w:tplc="279E44FA">
      <w:numFmt w:val="bullet"/>
      <w:lvlText w:val="•"/>
      <w:lvlJc w:val="left"/>
      <w:pPr>
        <w:ind w:left="4592" w:hanging="200"/>
      </w:pPr>
      <w:rPr>
        <w:rFonts w:hint="default"/>
      </w:rPr>
    </w:lvl>
    <w:lvl w:ilvl="4" w:tplc="890E5E92">
      <w:numFmt w:val="bullet"/>
      <w:lvlText w:val="•"/>
      <w:lvlJc w:val="left"/>
      <w:pPr>
        <w:ind w:left="5576" w:hanging="200"/>
      </w:pPr>
      <w:rPr>
        <w:rFonts w:hint="default"/>
      </w:rPr>
    </w:lvl>
    <w:lvl w:ilvl="5" w:tplc="9D286DB2">
      <w:numFmt w:val="bullet"/>
      <w:lvlText w:val="•"/>
      <w:lvlJc w:val="left"/>
      <w:pPr>
        <w:ind w:left="6560" w:hanging="200"/>
      </w:pPr>
      <w:rPr>
        <w:rFonts w:hint="default"/>
      </w:rPr>
    </w:lvl>
    <w:lvl w:ilvl="6" w:tplc="A5E4C278">
      <w:numFmt w:val="bullet"/>
      <w:lvlText w:val="•"/>
      <w:lvlJc w:val="left"/>
      <w:pPr>
        <w:ind w:left="7544" w:hanging="200"/>
      </w:pPr>
      <w:rPr>
        <w:rFonts w:hint="default"/>
      </w:rPr>
    </w:lvl>
    <w:lvl w:ilvl="7" w:tplc="E65603E0">
      <w:numFmt w:val="bullet"/>
      <w:lvlText w:val="•"/>
      <w:lvlJc w:val="left"/>
      <w:pPr>
        <w:ind w:left="8528" w:hanging="200"/>
      </w:pPr>
      <w:rPr>
        <w:rFonts w:hint="default"/>
      </w:rPr>
    </w:lvl>
    <w:lvl w:ilvl="8" w:tplc="EE9EB48A">
      <w:numFmt w:val="bullet"/>
      <w:lvlText w:val="•"/>
      <w:lvlJc w:val="left"/>
      <w:pPr>
        <w:ind w:left="9512" w:hanging="200"/>
      </w:pPr>
      <w:rPr>
        <w:rFonts w:hint="default"/>
      </w:rPr>
    </w:lvl>
  </w:abstractNum>
  <w:abstractNum w:abstractNumId="1" w15:restartNumberingAfterBreak="0">
    <w:nsid w:val="67EB7627"/>
    <w:multiLevelType w:val="hybridMultilevel"/>
    <w:tmpl w:val="23666C60"/>
    <w:lvl w:ilvl="0" w:tplc="2C563AF2">
      <w:start w:val="1"/>
      <w:numFmt w:val="decimal"/>
      <w:lvlText w:val="%1."/>
      <w:lvlJc w:val="left"/>
      <w:pPr>
        <w:ind w:left="1440" w:hanging="240"/>
        <w:jc w:val="left"/>
      </w:pPr>
      <w:rPr>
        <w:rFonts w:ascii="Times New Roman" w:eastAsia="Times New Roman" w:hAnsi="Times New Roman" w:cs="Times New Roman" w:hint="default"/>
        <w:w w:val="100"/>
        <w:sz w:val="24"/>
        <w:szCs w:val="24"/>
      </w:rPr>
    </w:lvl>
    <w:lvl w:ilvl="1" w:tplc="B726D060">
      <w:numFmt w:val="bullet"/>
      <w:lvlText w:val="•"/>
      <w:lvlJc w:val="left"/>
      <w:pPr>
        <w:ind w:left="2444" w:hanging="240"/>
      </w:pPr>
      <w:rPr>
        <w:rFonts w:hint="default"/>
      </w:rPr>
    </w:lvl>
    <w:lvl w:ilvl="2" w:tplc="A04622C4">
      <w:numFmt w:val="bullet"/>
      <w:lvlText w:val="•"/>
      <w:lvlJc w:val="left"/>
      <w:pPr>
        <w:ind w:left="3448" w:hanging="240"/>
      </w:pPr>
      <w:rPr>
        <w:rFonts w:hint="default"/>
      </w:rPr>
    </w:lvl>
    <w:lvl w:ilvl="3" w:tplc="0304167E">
      <w:numFmt w:val="bullet"/>
      <w:lvlText w:val="•"/>
      <w:lvlJc w:val="left"/>
      <w:pPr>
        <w:ind w:left="4452" w:hanging="240"/>
      </w:pPr>
      <w:rPr>
        <w:rFonts w:hint="default"/>
      </w:rPr>
    </w:lvl>
    <w:lvl w:ilvl="4" w:tplc="608AE8BE">
      <w:numFmt w:val="bullet"/>
      <w:lvlText w:val="•"/>
      <w:lvlJc w:val="left"/>
      <w:pPr>
        <w:ind w:left="5456" w:hanging="240"/>
      </w:pPr>
      <w:rPr>
        <w:rFonts w:hint="default"/>
      </w:rPr>
    </w:lvl>
    <w:lvl w:ilvl="5" w:tplc="608C5BF6">
      <w:numFmt w:val="bullet"/>
      <w:lvlText w:val="•"/>
      <w:lvlJc w:val="left"/>
      <w:pPr>
        <w:ind w:left="6460" w:hanging="240"/>
      </w:pPr>
      <w:rPr>
        <w:rFonts w:hint="default"/>
      </w:rPr>
    </w:lvl>
    <w:lvl w:ilvl="6" w:tplc="71AC6B7A">
      <w:numFmt w:val="bullet"/>
      <w:lvlText w:val="•"/>
      <w:lvlJc w:val="left"/>
      <w:pPr>
        <w:ind w:left="7464" w:hanging="240"/>
      </w:pPr>
      <w:rPr>
        <w:rFonts w:hint="default"/>
      </w:rPr>
    </w:lvl>
    <w:lvl w:ilvl="7" w:tplc="A218FCF2">
      <w:numFmt w:val="bullet"/>
      <w:lvlText w:val="•"/>
      <w:lvlJc w:val="left"/>
      <w:pPr>
        <w:ind w:left="8468" w:hanging="240"/>
      </w:pPr>
      <w:rPr>
        <w:rFonts w:hint="default"/>
      </w:rPr>
    </w:lvl>
    <w:lvl w:ilvl="8" w:tplc="807ED852">
      <w:numFmt w:val="bullet"/>
      <w:lvlText w:val="•"/>
      <w:lvlJc w:val="left"/>
      <w:pPr>
        <w:ind w:left="9472" w:hanging="2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8E1186"/>
    <w:rsid w:val="00017D83"/>
    <w:rsid w:val="00066E3B"/>
    <w:rsid w:val="003753DF"/>
    <w:rsid w:val="004A0BF6"/>
    <w:rsid w:val="00600DD1"/>
    <w:rsid w:val="007E568C"/>
    <w:rsid w:val="0085327F"/>
    <w:rsid w:val="00885B0A"/>
    <w:rsid w:val="008E1186"/>
    <w:rsid w:val="00A36055"/>
    <w:rsid w:val="00A96C47"/>
    <w:rsid w:val="00BE1B64"/>
    <w:rsid w:val="00C63A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81B7270"/>
  <w15:docId w15:val="{613552B0-25E8-3345-A031-47ECE5A5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40"/>
      <w:outlineLvl w:val="0"/>
    </w:pPr>
    <w:rPr>
      <w:b/>
      <w:bCs/>
      <w:sz w:val="26"/>
      <w:szCs w:val="26"/>
    </w:rPr>
  </w:style>
  <w:style w:type="paragraph" w:styleId="Heading2">
    <w:name w:val="heading 2"/>
    <w:basedOn w:val="Normal"/>
    <w:uiPriority w:val="9"/>
    <w:unhideWhenUsed/>
    <w:qFormat/>
    <w:pPr>
      <w:ind w:left="1440"/>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20"/>
      <w:ind w:left="932" w:right="180"/>
      <w:jc w:val="center"/>
    </w:pPr>
    <w:rPr>
      <w:rFonts w:ascii="Arial" w:eastAsia="Arial" w:hAnsi="Arial" w:cs="Arial"/>
      <w:b/>
      <w:bCs/>
      <w:sz w:val="32"/>
      <w:szCs w:val="32"/>
    </w:rPr>
  </w:style>
  <w:style w:type="paragraph" w:styleId="ListParagraph">
    <w:name w:val="List Paragraph"/>
    <w:basedOn w:val="Normal"/>
    <w:uiPriority w:val="1"/>
    <w:qFormat/>
    <w:pPr>
      <w:ind w:left="1440"/>
    </w:pPr>
  </w:style>
  <w:style w:type="paragraph" w:customStyle="1" w:styleId="TableParagraph">
    <w:name w:val="Table Paragraph"/>
    <w:basedOn w:val="Normal"/>
    <w:uiPriority w:val="1"/>
    <w:qFormat/>
    <w:pPr>
      <w:spacing w:before="86"/>
    </w:pPr>
    <w:rPr>
      <w:rFonts w:ascii="Arial Black" w:eastAsia="Arial Black" w:hAnsi="Arial Black" w:cs="Arial Bla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2198</Words>
  <Characters>12532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69</dc:creator>
  <cp:lastModifiedBy>ali cadili</cp:lastModifiedBy>
  <cp:revision>13</cp:revision>
  <dcterms:created xsi:type="dcterms:W3CDTF">2020-10-07T19:53:00Z</dcterms:created>
  <dcterms:modified xsi:type="dcterms:W3CDTF">2020-10-20T17:24:00Z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2018-03-26T00:00:00Z</vt:filetime>
  </property>
  <property fmtid="{D5CDD505-2E9C-101B-9397-08002B2CF9AE}" pid="3" name="LastSaved">
    <vt:filetime>2020-10-07T00:00:00Z</vt:filetime>
  </property>
</Properties>
</file>