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2F78F" w14:textId="77777777" w:rsidR="00882051" w:rsidRPr="00A834B1" w:rsidRDefault="00882051" w:rsidP="009A5599">
      <w:pPr>
        <w:pStyle w:val="Paragraphedeliste"/>
        <w:spacing w:line="360" w:lineRule="auto"/>
        <w:jc w:val="both"/>
        <w:rPr>
          <w:b/>
          <w:bCs/>
        </w:rPr>
      </w:pPr>
      <w:r w:rsidRPr="00A834B1">
        <w:rPr>
          <w:b/>
          <w:bCs/>
        </w:rPr>
        <w:t>« Les pharmaciens d’officine au MAROC et les inhibiteurs SGLT2 »</w:t>
      </w:r>
    </w:p>
    <w:p w14:paraId="51AC663A" w14:textId="77777777" w:rsidR="00882051" w:rsidRPr="00CF48A1" w:rsidRDefault="00882051" w:rsidP="009A5599">
      <w:pPr>
        <w:spacing w:line="360" w:lineRule="auto"/>
        <w:jc w:val="both"/>
        <w:rPr>
          <w:sz w:val="22"/>
          <w:szCs w:val="22"/>
        </w:rPr>
      </w:pPr>
    </w:p>
    <w:p w14:paraId="5DDAB1BF" w14:textId="77777777" w:rsidR="00376240" w:rsidRPr="00CF48A1" w:rsidRDefault="00376240" w:rsidP="009A5599">
      <w:pPr>
        <w:tabs>
          <w:tab w:val="left" w:pos="1134"/>
          <w:tab w:val="left" w:pos="9072"/>
        </w:tabs>
        <w:spacing w:line="360" w:lineRule="auto"/>
        <w:jc w:val="both"/>
        <w:outlineLvl w:val="1"/>
        <w:rPr>
          <w:b/>
          <w:bCs/>
          <w:color w:val="0D0D0D"/>
          <w:sz w:val="22"/>
          <w:szCs w:val="22"/>
          <w:shd w:val="clear" w:color="auto" w:fill="FFFFFF"/>
        </w:rPr>
      </w:pPr>
      <w:r w:rsidRPr="00CF48A1">
        <w:rPr>
          <w:b/>
          <w:bCs/>
          <w:color w:val="0D0D0D"/>
          <w:sz w:val="22"/>
          <w:szCs w:val="22"/>
          <w:shd w:val="clear" w:color="auto" w:fill="FFFFFF"/>
        </w:rPr>
        <w:t>RESUME</w:t>
      </w:r>
    </w:p>
    <w:p w14:paraId="723E8566" w14:textId="77777777" w:rsidR="001924C0" w:rsidRPr="00CF48A1" w:rsidRDefault="00882051" w:rsidP="001924C0">
      <w:pPr>
        <w:tabs>
          <w:tab w:val="left" w:pos="1134"/>
          <w:tab w:val="left" w:pos="9072"/>
        </w:tabs>
        <w:spacing w:line="360" w:lineRule="auto"/>
        <w:jc w:val="both"/>
        <w:outlineLvl w:val="1"/>
        <w:rPr>
          <w:b/>
          <w:bCs/>
          <w:color w:val="0D0D0D"/>
          <w:sz w:val="22"/>
          <w:szCs w:val="22"/>
          <w:shd w:val="clear" w:color="auto" w:fill="FFFFFF"/>
        </w:rPr>
      </w:pPr>
      <w:r w:rsidRPr="00CF48A1">
        <w:rPr>
          <w:b/>
          <w:bCs/>
          <w:color w:val="0D0D0D"/>
          <w:sz w:val="22"/>
          <w:szCs w:val="22"/>
          <w:shd w:val="clear" w:color="auto" w:fill="FFFFFF"/>
        </w:rPr>
        <w:t>INTRODUCTION</w:t>
      </w:r>
    </w:p>
    <w:p w14:paraId="5A18FBB8" w14:textId="273D359D" w:rsidR="00882051" w:rsidRPr="00CF48A1" w:rsidRDefault="00882051" w:rsidP="001924C0">
      <w:pPr>
        <w:tabs>
          <w:tab w:val="left" w:pos="1134"/>
          <w:tab w:val="left" w:pos="9072"/>
        </w:tabs>
        <w:spacing w:line="276" w:lineRule="auto"/>
        <w:jc w:val="both"/>
        <w:outlineLvl w:val="1"/>
        <w:rPr>
          <w:b/>
          <w:bCs/>
          <w:color w:val="0D0D0D"/>
          <w:sz w:val="22"/>
          <w:szCs w:val="22"/>
          <w:shd w:val="clear" w:color="auto" w:fill="FFFFFF"/>
        </w:rPr>
      </w:pPr>
      <w:r w:rsidRPr="00CF48A1">
        <w:rPr>
          <w:color w:val="0D0D0D"/>
          <w:sz w:val="22"/>
          <w:szCs w:val="22"/>
          <w:shd w:val="clear" w:color="auto" w:fill="FFFFFF"/>
        </w:rPr>
        <w:t xml:space="preserve">Le pharmacien d’officine joue un rôle important dans la gestion du diabète de type 2 </w:t>
      </w:r>
      <w:r w:rsidR="00BB7546" w:rsidRPr="00CF48A1">
        <w:rPr>
          <w:color w:val="0D0D0D"/>
          <w:sz w:val="22"/>
          <w:szCs w:val="22"/>
          <w:shd w:val="clear" w:color="auto" w:fill="FFFFFF"/>
        </w:rPr>
        <w:t>via</w:t>
      </w:r>
      <w:r w:rsidRPr="00CF48A1">
        <w:rPr>
          <w:color w:val="0D0D0D"/>
          <w:sz w:val="22"/>
          <w:szCs w:val="22"/>
          <w:shd w:val="clear" w:color="auto" w:fill="FFFFFF"/>
        </w:rPr>
        <w:t xml:space="preserve"> l'utilisation des inhibiteurs SGLT2.Notamment par l'éducation des patients, le suivi des traitements et l'optimisation thérapeutiques.</w:t>
      </w:r>
    </w:p>
    <w:p w14:paraId="0B7D9997" w14:textId="29D576F1" w:rsidR="00882051" w:rsidRPr="00CF48A1" w:rsidRDefault="00882051" w:rsidP="001924C0">
      <w:pPr>
        <w:tabs>
          <w:tab w:val="left" w:pos="1134"/>
          <w:tab w:val="left" w:pos="9072"/>
        </w:tabs>
        <w:spacing w:line="276" w:lineRule="auto"/>
        <w:jc w:val="both"/>
        <w:outlineLvl w:val="1"/>
        <w:rPr>
          <w:color w:val="0D0D0D"/>
          <w:sz w:val="22"/>
          <w:szCs w:val="22"/>
          <w:shd w:val="clear" w:color="auto" w:fill="FFFFFF"/>
        </w:rPr>
      </w:pPr>
      <w:r w:rsidRPr="00CF48A1">
        <w:rPr>
          <w:sz w:val="22"/>
          <w:szCs w:val="22"/>
        </w:rPr>
        <w:t xml:space="preserve">L'évaluation du </w:t>
      </w:r>
      <w:r w:rsidRPr="00CF48A1">
        <w:rPr>
          <w:color w:val="0D0D0D"/>
          <w:sz w:val="22"/>
          <w:szCs w:val="22"/>
          <w:shd w:val="clear" w:color="auto" w:fill="FFFFFF"/>
        </w:rPr>
        <w:t xml:space="preserve">niveau </w:t>
      </w:r>
      <w:r w:rsidRPr="00CF48A1">
        <w:rPr>
          <w:sz w:val="22"/>
          <w:szCs w:val="22"/>
        </w:rPr>
        <w:t xml:space="preserve">de connaissances des pharmaciens d'officine </w:t>
      </w:r>
      <w:r w:rsidRPr="00CF48A1">
        <w:rPr>
          <w:color w:val="0D0D0D"/>
          <w:sz w:val="22"/>
          <w:szCs w:val="22"/>
          <w:shd w:val="clear" w:color="auto" w:fill="FFFFFF"/>
        </w:rPr>
        <w:t xml:space="preserve">concernant les inhibiteurs SGLT2 a pour objet </w:t>
      </w:r>
      <w:r w:rsidRPr="00CF48A1">
        <w:rPr>
          <w:sz w:val="22"/>
          <w:szCs w:val="22"/>
        </w:rPr>
        <w:t>l’amélioration continue des compétences des pharmaciens pour garantir la qualité</w:t>
      </w:r>
      <w:r w:rsidR="00CE1AB9" w:rsidRPr="00CF48A1">
        <w:rPr>
          <w:sz w:val="22"/>
          <w:szCs w:val="22"/>
        </w:rPr>
        <w:t xml:space="preserve"> </w:t>
      </w:r>
      <w:r w:rsidRPr="00CF48A1">
        <w:rPr>
          <w:sz w:val="22"/>
          <w:szCs w:val="22"/>
        </w:rPr>
        <w:t>des soins, dans un domaine en constante évolution.</w:t>
      </w:r>
    </w:p>
    <w:p w14:paraId="6C79DDDD" w14:textId="77777777" w:rsidR="00882051" w:rsidRPr="00CF48A1" w:rsidRDefault="00882051" w:rsidP="009A5599">
      <w:pPr>
        <w:tabs>
          <w:tab w:val="left" w:pos="1134"/>
          <w:tab w:val="left" w:pos="9072"/>
        </w:tabs>
        <w:spacing w:line="276" w:lineRule="auto"/>
        <w:jc w:val="both"/>
        <w:outlineLvl w:val="1"/>
        <w:rPr>
          <w:color w:val="0D0D0D"/>
          <w:sz w:val="22"/>
          <w:szCs w:val="22"/>
          <w:shd w:val="clear" w:color="auto" w:fill="FFFFFF"/>
        </w:rPr>
      </w:pPr>
    </w:p>
    <w:p w14:paraId="5A26386A" w14:textId="5107F97B" w:rsidR="00882051" w:rsidRPr="00CF48A1" w:rsidRDefault="00882051" w:rsidP="001924C0">
      <w:pPr>
        <w:widowControl w:val="0"/>
        <w:autoSpaceDE w:val="0"/>
        <w:autoSpaceDN w:val="0"/>
        <w:adjustRightInd w:val="0"/>
        <w:spacing w:after="120"/>
        <w:contextualSpacing/>
        <w:jc w:val="both"/>
        <w:rPr>
          <w:rFonts w:asciiTheme="majorBidi" w:hAnsiTheme="majorBidi" w:cstheme="majorBidi"/>
          <w:b/>
          <w:bCs/>
          <w:sz w:val="22"/>
          <w:szCs w:val="22"/>
        </w:rPr>
      </w:pPr>
      <w:r w:rsidRPr="00CF48A1">
        <w:rPr>
          <w:rFonts w:asciiTheme="majorBidi" w:hAnsiTheme="majorBidi" w:cstheme="majorBidi"/>
          <w:b/>
          <w:bCs/>
          <w:sz w:val="22"/>
          <w:szCs w:val="22"/>
        </w:rPr>
        <w:t>MATHERIEL ET METHODE</w:t>
      </w:r>
    </w:p>
    <w:p w14:paraId="074F231D" w14:textId="46E2C258" w:rsidR="00882051" w:rsidRPr="00CF48A1" w:rsidRDefault="00882051" w:rsidP="009A5599">
      <w:pPr>
        <w:ind w:right="-283"/>
        <w:jc w:val="both"/>
        <w:rPr>
          <w:rFonts w:asciiTheme="majorBidi" w:hAnsiTheme="majorBidi" w:cstheme="majorBidi"/>
          <w:bCs/>
          <w:sz w:val="22"/>
          <w:szCs w:val="22"/>
        </w:rPr>
      </w:pPr>
      <w:r w:rsidRPr="00CF48A1">
        <w:rPr>
          <w:rFonts w:asciiTheme="majorBidi" w:hAnsiTheme="majorBidi" w:cstheme="majorBidi"/>
          <w:bCs/>
          <w:sz w:val="22"/>
          <w:szCs w:val="22"/>
        </w:rPr>
        <w:t>Il s’agit d’une étude prospective, transversale, descriptive de</w:t>
      </w:r>
      <w:r w:rsidR="003C72D5">
        <w:rPr>
          <w:rFonts w:asciiTheme="majorBidi" w:hAnsiTheme="majorBidi" w:cstheme="majorBidi"/>
          <w:bCs/>
          <w:sz w:val="22"/>
          <w:szCs w:val="22"/>
        </w:rPr>
        <w:t xml:space="preserve"> </w:t>
      </w:r>
      <w:r w:rsidRPr="00CF48A1">
        <w:rPr>
          <w:rFonts w:asciiTheme="majorBidi" w:hAnsiTheme="majorBidi" w:cstheme="majorBidi"/>
          <w:bCs/>
          <w:sz w:val="22"/>
          <w:szCs w:val="22"/>
        </w:rPr>
        <w:t>06 mois</w:t>
      </w:r>
      <w:r w:rsidR="003C72D5">
        <w:rPr>
          <w:rFonts w:asciiTheme="majorBidi" w:hAnsiTheme="majorBidi" w:cstheme="majorBidi"/>
          <w:bCs/>
          <w:sz w:val="22"/>
          <w:szCs w:val="22"/>
        </w:rPr>
        <w:t xml:space="preserve"> </w:t>
      </w:r>
      <w:r w:rsidRPr="00CF48A1">
        <w:rPr>
          <w:rFonts w:asciiTheme="majorBidi" w:hAnsiTheme="majorBidi" w:cstheme="majorBidi"/>
          <w:bCs/>
          <w:sz w:val="22"/>
          <w:szCs w:val="22"/>
        </w:rPr>
        <w:t xml:space="preserve">qui a été menée au niveau des officines de la préfecture de Rabat et a pour objectif </w:t>
      </w:r>
      <w:r w:rsidR="008E62DA" w:rsidRPr="00CF48A1">
        <w:rPr>
          <w:rFonts w:asciiTheme="majorBidi" w:hAnsiTheme="majorBidi" w:cstheme="majorBidi"/>
          <w:bCs/>
          <w:sz w:val="22"/>
          <w:szCs w:val="22"/>
        </w:rPr>
        <w:t>d</w:t>
      </w:r>
      <w:r w:rsidRPr="00CF48A1">
        <w:rPr>
          <w:rFonts w:asciiTheme="majorBidi" w:hAnsiTheme="majorBidi" w:cstheme="majorBidi"/>
          <w:bCs/>
          <w:sz w:val="22"/>
          <w:szCs w:val="22"/>
        </w:rPr>
        <w:t xml:space="preserve">’évaluer les connaissances des pharmaciens de </w:t>
      </w:r>
      <w:r w:rsidR="008E62DA" w:rsidRPr="00CF48A1">
        <w:rPr>
          <w:rFonts w:asciiTheme="majorBidi" w:hAnsiTheme="majorBidi" w:cstheme="majorBidi"/>
          <w:bCs/>
          <w:sz w:val="22"/>
          <w:szCs w:val="22"/>
        </w:rPr>
        <w:t>R</w:t>
      </w:r>
      <w:r w:rsidRPr="00CF48A1">
        <w:rPr>
          <w:rFonts w:asciiTheme="majorBidi" w:hAnsiTheme="majorBidi" w:cstheme="majorBidi"/>
          <w:bCs/>
          <w:sz w:val="22"/>
          <w:szCs w:val="22"/>
        </w:rPr>
        <w:t xml:space="preserve">abat sur les </w:t>
      </w:r>
      <w:r w:rsidR="008E62DA" w:rsidRPr="00CF48A1">
        <w:rPr>
          <w:rFonts w:asciiTheme="majorBidi" w:hAnsiTheme="majorBidi" w:cstheme="majorBidi"/>
          <w:bCs/>
          <w:sz w:val="22"/>
          <w:szCs w:val="22"/>
        </w:rPr>
        <w:t xml:space="preserve">antidiabétiques </w:t>
      </w:r>
      <w:r w:rsidRPr="00CF48A1">
        <w:rPr>
          <w:rFonts w:asciiTheme="majorBidi" w:hAnsiTheme="majorBidi" w:cstheme="majorBidi"/>
          <w:bCs/>
          <w:sz w:val="22"/>
          <w:szCs w:val="22"/>
        </w:rPr>
        <w:t>inhibiteurs SGLT2.</w:t>
      </w:r>
    </w:p>
    <w:p w14:paraId="0202B288" w14:textId="1087D4F4" w:rsidR="00882051" w:rsidRPr="00CF48A1" w:rsidRDefault="00882051" w:rsidP="009A5599">
      <w:pPr>
        <w:ind w:right="-283"/>
        <w:jc w:val="both"/>
        <w:rPr>
          <w:rFonts w:asciiTheme="majorBidi" w:hAnsiTheme="majorBidi" w:cstheme="majorBidi"/>
          <w:bCs/>
          <w:sz w:val="22"/>
          <w:szCs w:val="22"/>
        </w:rPr>
      </w:pPr>
      <w:r w:rsidRPr="00CF48A1">
        <w:rPr>
          <w:rFonts w:asciiTheme="majorBidi" w:hAnsiTheme="majorBidi" w:cstheme="majorBidi"/>
          <w:bCs/>
          <w:sz w:val="22"/>
          <w:szCs w:val="22"/>
        </w:rPr>
        <w:t xml:space="preserve">La méthode utilisée repose sur la collecte des informations à partir d’un questionnaire comprenant </w:t>
      </w:r>
      <w:r w:rsidR="00D01BE3" w:rsidRPr="00CF48A1">
        <w:rPr>
          <w:rFonts w:asciiTheme="majorBidi" w:hAnsiTheme="majorBidi" w:cstheme="majorBidi"/>
          <w:bCs/>
          <w:sz w:val="22"/>
          <w:szCs w:val="22"/>
        </w:rPr>
        <w:t xml:space="preserve">19 </w:t>
      </w:r>
      <w:r w:rsidRPr="00CF48A1">
        <w:rPr>
          <w:rFonts w:asciiTheme="majorBidi" w:hAnsiTheme="majorBidi" w:cstheme="majorBidi"/>
          <w:bCs/>
          <w:sz w:val="22"/>
          <w:szCs w:val="22"/>
        </w:rPr>
        <w:t>questions créé à l</w:t>
      </w:r>
      <w:r w:rsidR="000574BB" w:rsidRPr="00CF48A1">
        <w:rPr>
          <w:rFonts w:asciiTheme="majorBidi" w:hAnsiTheme="majorBidi" w:cstheme="majorBidi"/>
          <w:bCs/>
          <w:sz w:val="22"/>
          <w:szCs w:val="22"/>
        </w:rPr>
        <w:t>’</w:t>
      </w:r>
      <w:r w:rsidRPr="00CF48A1">
        <w:rPr>
          <w:rFonts w:asciiTheme="majorBidi" w:hAnsiTheme="majorBidi" w:cstheme="majorBidi"/>
          <w:bCs/>
          <w:sz w:val="22"/>
          <w:szCs w:val="22"/>
        </w:rPr>
        <w:t>aide de l</w:t>
      </w:r>
      <w:r w:rsidR="000574BB" w:rsidRPr="00CF48A1">
        <w:rPr>
          <w:rFonts w:asciiTheme="majorBidi" w:hAnsiTheme="majorBidi" w:cstheme="majorBidi"/>
          <w:bCs/>
          <w:sz w:val="22"/>
          <w:szCs w:val="22"/>
        </w:rPr>
        <w:t>’</w:t>
      </w:r>
      <w:r w:rsidRPr="00CF48A1">
        <w:rPr>
          <w:rFonts w:asciiTheme="majorBidi" w:hAnsiTheme="majorBidi" w:cstheme="majorBidi"/>
          <w:bCs/>
          <w:sz w:val="22"/>
          <w:szCs w:val="22"/>
        </w:rPr>
        <w:t>outil Google Forms. Par la suite, les informations recueillies ont été saisies et analysées par le logiciel SPSS version 24.</w:t>
      </w:r>
    </w:p>
    <w:p w14:paraId="3C87B837" w14:textId="77777777" w:rsidR="00882051" w:rsidRPr="00CF48A1" w:rsidRDefault="00882051" w:rsidP="009A5599">
      <w:pPr>
        <w:ind w:right="-283"/>
        <w:jc w:val="both"/>
        <w:rPr>
          <w:rFonts w:asciiTheme="majorBidi" w:hAnsiTheme="majorBidi" w:cstheme="majorBidi"/>
          <w:bCs/>
          <w:sz w:val="22"/>
          <w:szCs w:val="22"/>
        </w:rPr>
      </w:pPr>
      <w:r w:rsidRPr="00CF48A1">
        <w:rPr>
          <w:rFonts w:asciiTheme="majorBidi" w:hAnsiTheme="majorBidi" w:cstheme="majorBidi"/>
          <w:bCs/>
          <w:sz w:val="22"/>
          <w:szCs w:val="22"/>
        </w:rPr>
        <w:t>La taille de notre échantillon est de 147 pharmaciens ayant une expérience minimale de six mois en pharmacie.</w:t>
      </w:r>
    </w:p>
    <w:p w14:paraId="3DB2E149" w14:textId="77777777" w:rsidR="00882051" w:rsidRPr="00CF48A1" w:rsidRDefault="00882051" w:rsidP="009A5599">
      <w:pPr>
        <w:ind w:right="-283"/>
        <w:jc w:val="both"/>
        <w:rPr>
          <w:rFonts w:asciiTheme="majorBidi" w:hAnsiTheme="majorBidi" w:cstheme="majorBidi"/>
          <w:bCs/>
          <w:sz w:val="22"/>
          <w:szCs w:val="22"/>
        </w:rPr>
      </w:pPr>
    </w:p>
    <w:p w14:paraId="5C251C43" w14:textId="1CC49CC6" w:rsidR="00882051" w:rsidRPr="00CF48A1" w:rsidRDefault="001924C0" w:rsidP="001924C0">
      <w:pPr>
        <w:widowControl w:val="0"/>
        <w:autoSpaceDE w:val="0"/>
        <w:autoSpaceDN w:val="0"/>
        <w:adjustRightInd w:val="0"/>
        <w:spacing w:after="120"/>
        <w:contextualSpacing/>
        <w:jc w:val="both"/>
        <w:rPr>
          <w:rFonts w:asciiTheme="majorBidi" w:hAnsiTheme="majorBidi" w:cstheme="majorBidi"/>
          <w:b/>
          <w:bCs/>
          <w:sz w:val="22"/>
          <w:szCs w:val="22"/>
        </w:rPr>
      </w:pPr>
      <w:r w:rsidRPr="00CF48A1">
        <w:rPr>
          <w:rFonts w:asciiTheme="majorBidi" w:hAnsiTheme="majorBidi" w:cstheme="majorBidi"/>
          <w:b/>
          <w:bCs/>
          <w:sz w:val="22"/>
          <w:szCs w:val="22"/>
        </w:rPr>
        <w:t>RESULTATS :</w:t>
      </w:r>
    </w:p>
    <w:p w14:paraId="16BA2FCD" w14:textId="77777777" w:rsidR="00882051" w:rsidRPr="00CF48A1" w:rsidRDefault="00882051" w:rsidP="009A5599">
      <w:pPr>
        <w:ind w:right="-283"/>
        <w:jc w:val="both"/>
        <w:rPr>
          <w:rFonts w:asciiTheme="majorBidi" w:hAnsiTheme="majorBidi" w:cstheme="majorBidi"/>
          <w:bCs/>
          <w:sz w:val="22"/>
          <w:szCs w:val="22"/>
        </w:rPr>
      </w:pPr>
      <w:r w:rsidRPr="00CF48A1">
        <w:rPr>
          <w:rFonts w:asciiTheme="majorBidi" w:hAnsiTheme="majorBidi" w:cstheme="majorBidi"/>
          <w:bCs/>
          <w:sz w:val="22"/>
          <w:szCs w:val="22"/>
        </w:rPr>
        <w:t>Dans notre étude 51.7 %</w:t>
      </w:r>
      <w:r w:rsidR="00BB7546" w:rsidRPr="00CF48A1">
        <w:rPr>
          <w:rFonts w:asciiTheme="majorBidi" w:hAnsiTheme="majorBidi" w:cstheme="majorBidi"/>
          <w:bCs/>
          <w:sz w:val="22"/>
          <w:szCs w:val="22"/>
        </w:rPr>
        <w:t xml:space="preserve"> des participants </w:t>
      </w:r>
      <w:r w:rsidRPr="00CF48A1">
        <w:rPr>
          <w:rFonts w:asciiTheme="majorBidi" w:hAnsiTheme="majorBidi" w:cstheme="majorBidi"/>
          <w:bCs/>
          <w:sz w:val="22"/>
          <w:szCs w:val="22"/>
        </w:rPr>
        <w:t xml:space="preserve">sont de sexe féminin </w:t>
      </w:r>
      <w:r w:rsidR="00756378" w:rsidRPr="00CF48A1">
        <w:rPr>
          <w:rFonts w:asciiTheme="majorBidi" w:hAnsiTheme="majorBidi" w:cstheme="majorBidi"/>
          <w:bCs/>
          <w:sz w:val="22"/>
          <w:szCs w:val="22"/>
        </w:rPr>
        <w:t>versus</w:t>
      </w:r>
      <w:r w:rsidRPr="00CF48A1">
        <w:rPr>
          <w:rFonts w:asciiTheme="majorBidi" w:hAnsiTheme="majorBidi" w:cstheme="majorBidi"/>
          <w:bCs/>
          <w:sz w:val="22"/>
          <w:szCs w:val="22"/>
        </w:rPr>
        <w:t xml:space="preserve"> 48.3 % de sexe masculin.</w:t>
      </w:r>
    </w:p>
    <w:p w14:paraId="7FC88FCE" w14:textId="77777777" w:rsidR="00882051" w:rsidRPr="00CF48A1" w:rsidRDefault="00882051" w:rsidP="009A5599">
      <w:pPr>
        <w:ind w:right="-283"/>
        <w:jc w:val="both"/>
        <w:rPr>
          <w:rFonts w:asciiTheme="majorBidi" w:hAnsiTheme="majorBidi" w:cstheme="majorBidi"/>
          <w:bCs/>
          <w:sz w:val="22"/>
          <w:szCs w:val="22"/>
        </w:rPr>
      </w:pPr>
      <w:r w:rsidRPr="00CF48A1">
        <w:rPr>
          <w:rFonts w:asciiTheme="majorBidi" w:hAnsiTheme="majorBidi" w:cstheme="majorBidi"/>
          <w:bCs/>
          <w:sz w:val="22"/>
          <w:szCs w:val="22"/>
        </w:rPr>
        <w:t>95 % exercent au milieu urbain</w:t>
      </w:r>
      <w:r w:rsidR="00756378" w:rsidRPr="00CF48A1">
        <w:rPr>
          <w:rFonts w:asciiTheme="majorBidi" w:hAnsiTheme="majorBidi" w:cstheme="majorBidi"/>
          <w:bCs/>
          <w:sz w:val="22"/>
          <w:szCs w:val="22"/>
        </w:rPr>
        <w:t xml:space="preserve"> dont</w:t>
      </w:r>
      <w:r w:rsidRPr="00CF48A1">
        <w:rPr>
          <w:rFonts w:asciiTheme="majorBidi" w:hAnsiTheme="majorBidi" w:cstheme="majorBidi"/>
          <w:bCs/>
          <w:sz w:val="22"/>
          <w:szCs w:val="22"/>
        </w:rPr>
        <w:t xml:space="preserve"> 56.5% ont une expérience professionnelle inférieure à 5 ans. </w:t>
      </w:r>
    </w:p>
    <w:p w14:paraId="4C41C4DA" w14:textId="77777777" w:rsidR="00882051" w:rsidRPr="00CF48A1" w:rsidRDefault="00882051" w:rsidP="009A5599">
      <w:pPr>
        <w:ind w:right="-283"/>
        <w:jc w:val="both"/>
        <w:rPr>
          <w:rFonts w:asciiTheme="majorBidi" w:hAnsiTheme="majorBidi" w:cstheme="majorBidi"/>
          <w:bCs/>
          <w:sz w:val="22"/>
          <w:szCs w:val="22"/>
        </w:rPr>
      </w:pPr>
      <w:r w:rsidRPr="00CF48A1">
        <w:rPr>
          <w:rFonts w:asciiTheme="majorBidi" w:hAnsiTheme="majorBidi" w:cstheme="majorBidi"/>
          <w:bCs/>
          <w:sz w:val="22"/>
          <w:szCs w:val="22"/>
        </w:rPr>
        <w:t xml:space="preserve">43% des pharmaciens connaissent le mécanisme d’action des inhibiteurs SGLT2 et que les infections urogénitales sont l’effet indésirable le plus courant des </w:t>
      </w:r>
      <w:proofErr w:type="spellStart"/>
      <w:r w:rsidRPr="00CF48A1">
        <w:rPr>
          <w:rFonts w:asciiTheme="majorBidi" w:hAnsiTheme="majorBidi" w:cstheme="majorBidi"/>
          <w:bCs/>
          <w:sz w:val="22"/>
          <w:szCs w:val="22"/>
        </w:rPr>
        <w:t>gliflozines</w:t>
      </w:r>
      <w:proofErr w:type="spellEnd"/>
      <w:r w:rsidRPr="00CF48A1">
        <w:rPr>
          <w:rFonts w:asciiTheme="majorBidi" w:hAnsiTheme="majorBidi" w:cstheme="majorBidi"/>
          <w:bCs/>
          <w:sz w:val="22"/>
          <w:szCs w:val="22"/>
        </w:rPr>
        <w:t>.</w:t>
      </w:r>
    </w:p>
    <w:p w14:paraId="1229B225" w14:textId="30452162" w:rsidR="00882051" w:rsidRPr="00CF48A1" w:rsidRDefault="00882051" w:rsidP="009A5599">
      <w:pPr>
        <w:ind w:right="-283"/>
        <w:jc w:val="both"/>
        <w:rPr>
          <w:rFonts w:asciiTheme="majorBidi" w:hAnsiTheme="majorBidi" w:cstheme="majorBidi"/>
          <w:bCs/>
          <w:sz w:val="22"/>
          <w:szCs w:val="22"/>
        </w:rPr>
      </w:pPr>
      <w:r w:rsidRPr="00CF48A1">
        <w:rPr>
          <w:rFonts w:asciiTheme="majorBidi" w:hAnsiTheme="majorBidi" w:cstheme="majorBidi"/>
          <w:bCs/>
          <w:sz w:val="22"/>
          <w:szCs w:val="22"/>
        </w:rPr>
        <w:t>La moitié des participants sa</w:t>
      </w:r>
      <w:r w:rsidR="005F57FC" w:rsidRPr="00CF48A1">
        <w:rPr>
          <w:rFonts w:asciiTheme="majorBidi" w:hAnsiTheme="majorBidi" w:cstheme="majorBidi"/>
          <w:bCs/>
          <w:sz w:val="22"/>
          <w:szCs w:val="22"/>
        </w:rPr>
        <w:t>vent</w:t>
      </w:r>
      <w:r w:rsidRPr="00CF48A1">
        <w:rPr>
          <w:rFonts w:asciiTheme="majorBidi" w:hAnsiTheme="majorBidi" w:cstheme="majorBidi"/>
          <w:bCs/>
          <w:sz w:val="22"/>
          <w:szCs w:val="22"/>
        </w:rPr>
        <w:t xml:space="preserve"> que ces médicaments contribuent à la réduction pondérale.</w:t>
      </w:r>
    </w:p>
    <w:p w14:paraId="64A3EBD6" w14:textId="77777777" w:rsidR="00882051" w:rsidRPr="00CF48A1" w:rsidRDefault="00882051" w:rsidP="009A5599">
      <w:pPr>
        <w:ind w:right="-283"/>
        <w:jc w:val="both"/>
        <w:rPr>
          <w:rFonts w:asciiTheme="majorBidi" w:hAnsiTheme="majorBidi" w:cstheme="majorBidi"/>
          <w:bCs/>
          <w:sz w:val="22"/>
          <w:szCs w:val="22"/>
        </w:rPr>
      </w:pPr>
      <w:r w:rsidRPr="00CF48A1">
        <w:rPr>
          <w:rFonts w:asciiTheme="majorBidi" w:hAnsiTheme="majorBidi" w:cstheme="majorBidi"/>
          <w:bCs/>
          <w:sz w:val="22"/>
          <w:szCs w:val="22"/>
        </w:rPr>
        <w:t xml:space="preserve">67.3% </w:t>
      </w:r>
      <w:r w:rsidR="005F57FC" w:rsidRPr="00CF48A1">
        <w:rPr>
          <w:rFonts w:asciiTheme="majorBidi" w:hAnsiTheme="majorBidi" w:cstheme="majorBidi"/>
          <w:bCs/>
          <w:sz w:val="22"/>
          <w:szCs w:val="22"/>
        </w:rPr>
        <w:t>ont connaissance de</w:t>
      </w:r>
      <w:r w:rsidRPr="00CF48A1">
        <w:rPr>
          <w:rFonts w:asciiTheme="majorBidi" w:hAnsiTheme="majorBidi" w:cstheme="majorBidi"/>
          <w:bCs/>
          <w:sz w:val="22"/>
          <w:szCs w:val="22"/>
        </w:rPr>
        <w:t xml:space="preserve"> la principale contre-indication des inhibiteurs SGLT2.</w:t>
      </w:r>
    </w:p>
    <w:p w14:paraId="7F9B6BFF" w14:textId="60A8A322" w:rsidR="00882051" w:rsidRPr="00CF48A1" w:rsidRDefault="00882051" w:rsidP="009A5599">
      <w:pPr>
        <w:ind w:right="-283"/>
        <w:jc w:val="both"/>
        <w:rPr>
          <w:rFonts w:asciiTheme="majorBidi" w:hAnsiTheme="majorBidi" w:cstheme="majorBidi"/>
          <w:bCs/>
          <w:sz w:val="22"/>
          <w:szCs w:val="22"/>
        </w:rPr>
      </w:pPr>
      <w:r w:rsidRPr="00CF48A1">
        <w:rPr>
          <w:rFonts w:asciiTheme="majorBidi" w:hAnsiTheme="majorBidi" w:cstheme="majorBidi"/>
          <w:bCs/>
          <w:sz w:val="22"/>
          <w:szCs w:val="22"/>
        </w:rPr>
        <w:t xml:space="preserve">Dans notre étude le score moyen de connaissance est </w:t>
      </w:r>
      <w:r w:rsidR="00E96DB1">
        <w:rPr>
          <w:rFonts w:asciiTheme="majorBidi" w:hAnsiTheme="majorBidi" w:cstheme="majorBidi"/>
          <w:bCs/>
          <w:sz w:val="22"/>
          <w:szCs w:val="22"/>
        </w:rPr>
        <w:t xml:space="preserve">de </w:t>
      </w:r>
      <w:r w:rsidRPr="00CF48A1">
        <w:rPr>
          <w:rFonts w:asciiTheme="majorBidi" w:hAnsiTheme="majorBidi" w:cstheme="majorBidi"/>
          <w:bCs/>
          <w:sz w:val="22"/>
          <w:szCs w:val="22"/>
        </w:rPr>
        <w:t>6.36 ce qui indique que la plupart des pharmaciens ont de bonnes connaissances sur inhibiteurs SGLT2.</w:t>
      </w:r>
    </w:p>
    <w:p w14:paraId="088B0E20" w14:textId="77777777" w:rsidR="00882051" w:rsidRPr="00CF48A1" w:rsidRDefault="00882051" w:rsidP="009A5599">
      <w:pPr>
        <w:ind w:right="-283"/>
        <w:jc w:val="both"/>
        <w:rPr>
          <w:rFonts w:asciiTheme="majorBidi" w:hAnsiTheme="majorBidi" w:cstheme="majorBidi"/>
          <w:b/>
          <w:sz w:val="22"/>
          <w:szCs w:val="22"/>
        </w:rPr>
      </w:pPr>
    </w:p>
    <w:p w14:paraId="5A3CD2F1" w14:textId="5393CC15" w:rsidR="00882051" w:rsidRPr="00CF48A1" w:rsidRDefault="00882051" w:rsidP="001924C0">
      <w:pPr>
        <w:ind w:right="-283"/>
        <w:jc w:val="both"/>
        <w:rPr>
          <w:rFonts w:asciiTheme="majorBidi" w:hAnsiTheme="majorBidi" w:cstheme="majorBidi"/>
          <w:b/>
          <w:sz w:val="22"/>
          <w:szCs w:val="22"/>
        </w:rPr>
      </w:pPr>
      <w:r w:rsidRPr="00CF48A1">
        <w:rPr>
          <w:rFonts w:asciiTheme="majorBidi" w:hAnsiTheme="majorBidi" w:cstheme="majorBidi"/>
          <w:b/>
          <w:sz w:val="22"/>
          <w:szCs w:val="22"/>
        </w:rPr>
        <w:t>CONCLUSION</w:t>
      </w:r>
      <w:r w:rsidR="000574BB" w:rsidRPr="00CF48A1">
        <w:rPr>
          <w:rFonts w:asciiTheme="majorBidi" w:hAnsiTheme="majorBidi" w:cstheme="majorBidi"/>
          <w:b/>
          <w:sz w:val="22"/>
          <w:szCs w:val="22"/>
        </w:rPr>
        <w:t> </w:t>
      </w:r>
      <w:r w:rsidRPr="00CF48A1">
        <w:rPr>
          <w:rFonts w:asciiTheme="majorBidi" w:hAnsiTheme="majorBidi" w:cstheme="majorBidi"/>
          <w:b/>
          <w:sz w:val="22"/>
          <w:szCs w:val="22"/>
        </w:rPr>
        <w:t>:</w:t>
      </w:r>
    </w:p>
    <w:p w14:paraId="6A755BEA" w14:textId="77777777" w:rsidR="00882051" w:rsidRPr="00CF48A1" w:rsidRDefault="00882051" w:rsidP="009A5599">
      <w:pPr>
        <w:ind w:right="-283"/>
        <w:jc w:val="both"/>
        <w:rPr>
          <w:rFonts w:asciiTheme="majorBidi" w:hAnsiTheme="majorBidi" w:cstheme="majorBidi"/>
          <w:bCs/>
          <w:sz w:val="22"/>
          <w:szCs w:val="22"/>
        </w:rPr>
      </w:pPr>
      <w:r w:rsidRPr="00CF48A1">
        <w:rPr>
          <w:rFonts w:asciiTheme="majorBidi" w:hAnsiTheme="majorBidi" w:cstheme="majorBidi"/>
          <w:bCs/>
          <w:sz w:val="22"/>
          <w:szCs w:val="22"/>
        </w:rPr>
        <w:t>Notre étude souligne l</w:t>
      </w:r>
      <w:r w:rsidR="000574BB" w:rsidRPr="00CF48A1">
        <w:rPr>
          <w:rFonts w:asciiTheme="majorBidi" w:hAnsiTheme="majorBidi" w:cstheme="majorBidi"/>
          <w:bCs/>
          <w:sz w:val="22"/>
          <w:szCs w:val="22"/>
        </w:rPr>
        <w:t>’</w:t>
      </w:r>
      <w:r w:rsidRPr="00CF48A1">
        <w:rPr>
          <w:rFonts w:asciiTheme="majorBidi" w:hAnsiTheme="majorBidi" w:cstheme="majorBidi"/>
          <w:bCs/>
          <w:sz w:val="22"/>
          <w:szCs w:val="22"/>
        </w:rPr>
        <w:t xml:space="preserve">importance de la formation continue et le choix des sources d’information pour garantir une utilisation optimale de ces médicaments innovants. </w:t>
      </w:r>
    </w:p>
    <w:p w14:paraId="3353FD38" w14:textId="77777777" w:rsidR="00882051" w:rsidRPr="00CF48A1" w:rsidRDefault="00882051" w:rsidP="009A5599">
      <w:pPr>
        <w:ind w:right="-283"/>
        <w:jc w:val="both"/>
        <w:rPr>
          <w:rFonts w:asciiTheme="majorBidi" w:hAnsiTheme="majorBidi" w:cstheme="majorBidi"/>
          <w:bCs/>
          <w:sz w:val="22"/>
          <w:szCs w:val="22"/>
        </w:rPr>
      </w:pPr>
      <w:r w:rsidRPr="00CF48A1">
        <w:rPr>
          <w:rFonts w:asciiTheme="majorBidi" w:hAnsiTheme="majorBidi" w:cstheme="majorBidi"/>
          <w:bCs/>
          <w:sz w:val="22"/>
          <w:szCs w:val="22"/>
        </w:rPr>
        <w:t>En somme, ce travail a contribué à approfondir notre compréhension du diabète de type 2 et a mis en évidence le rôle des inhibiteurs SGLT2 dans la prise en charge de cette pathologie. Cela suggère un avenir encourageant pour l</w:t>
      </w:r>
      <w:r w:rsidR="000574BB" w:rsidRPr="00CF48A1">
        <w:rPr>
          <w:rFonts w:asciiTheme="majorBidi" w:hAnsiTheme="majorBidi" w:cstheme="majorBidi"/>
          <w:bCs/>
          <w:sz w:val="22"/>
          <w:szCs w:val="22"/>
        </w:rPr>
        <w:t>’</w:t>
      </w:r>
      <w:r w:rsidRPr="00CF48A1">
        <w:rPr>
          <w:rFonts w:asciiTheme="majorBidi" w:hAnsiTheme="majorBidi" w:cstheme="majorBidi"/>
          <w:bCs/>
          <w:sz w:val="22"/>
          <w:szCs w:val="22"/>
        </w:rPr>
        <w:t>amélioration de la qualité de vie des patients diabétiques.</w:t>
      </w:r>
    </w:p>
    <w:p w14:paraId="382625AF" w14:textId="77777777" w:rsidR="0079590F" w:rsidRPr="00CF48A1" w:rsidRDefault="0079590F" w:rsidP="009A5599">
      <w:pPr>
        <w:jc w:val="both"/>
      </w:pPr>
    </w:p>
    <w:p w14:paraId="2A808A56" w14:textId="77777777" w:rsidR="0079590F" w:rsidRPr="00CF48A1" w:rsidRDefault="0079590F" w:rsidP="009A5599">
      <w:pPr>
        <w:jc w:val="both"/>
      </w:pPr>
    </w:p>
    <w:p w14:paraId="1C0B6BB3" w14:textId="77777777" w:rsidR="001924C0" w:rsidRPr="00CF48A1" w:rsidRDefault="001924C0" w:rsidP="00380F80">
      <w:pPr>
        <w:spacing w:line="480" w:lineRule="auto"/>
        <w:jc w:val="both"/>
      </w:pPr>
    </w:p>
    <w:p w14:paraId="2232AB0D" w14:textId="77777777" w:rsidR="001924C0" w:rsidRPr="00CF48A1" w:rsidRDefault="001924C0" w:rsidP="00380F80">
      <w:pPr>
        <w:spacing w:line="480" w:lineRule="auto"/>
        <w:jc w:val="both"/>
      </w:pPr>
    </w:p>
    <w:p w14:paraId="7B4F7376" w14:textId="2168ABB2" w:rsidR="0079590F" w:rsidRPr="00CF48A1" w:rsidRDefault="00380F80" w:rsidP="001978E9">
      <w:pPr>
        <w:pStyle w:val="Paragraphedeliste"/>
        <w:numPr>
          <w:ilvl w:val="0"/>
          <w:numId w:val="10"/>
        </w:numPr>
        <w:spacing w:line="360" w:lineRule="auto"/>
        <w:jc w:val="both"/>
        <w:rPr>
          <w:b/>
          <w:bCs/>
        </w:rPr>
      </w:pPr>
      <w:r w:rsidRPr="00CF48A1">
        <w:rPr>
          <w:b/>
          <w:bCs/>
        </w:rPr>
        <w:t>INTRODUCTION</w:t>
      </w:r>
    </w:p>
    <w:p w14:paraId="320D61B1" w14:textId="44B56FFE" w:rsidR="00554661" w:rsidRPr="00CF48A1" w:rsidRDefault="0079590F" w:rsidP="001978E9">
      <w:pPr>
        <w:spacing w:line="360" w:lineRule="auto"/>
        <w:jc w:val="both"/>
      </w:pPr>
      <w:r w:rsidRPr="00CF48A1">
        <w:t xml:space="preserve">Le diabète type 2 </w:t>
      </w:r>
      <w:r w:rsidR="00554661" w:rsidRPr="00CF48A1">
        <w:t xml:space="preserve">constitue un problème majeur de santé publique </w:t>
      </w:r>
      <w:r w:rsidR="00A03FB0" w:rsidRPr="00CF48A1">
        <w:t>au niveau mondial et ainsi à l’échelle marocain</w:t>
      </w:r>
      <w:r w:rsidR="000574BB" w:rsidRPr="00CF48A1">
        <w:t> </w:t>
      </w:r>
      <w:r w:rsidR="00B5680F" w:rsidRPr="00CF48A1">
        <w:t>;</w:t>
      </w:r>
      <w:r w:rsidR="00997C13" w:rsidRPr="00CF48A1">
        <w:t xml:space="preserve"> </w:t>
      </w:r>
      <w:r w:rsidR="00521120" w:rsidRPr="00CF48A1">
        <w:t>par sa</w:t>
      </w:r>
      <w:r w:rsidR="00997C13" w:rsidRPr="00CF48A1">
        <w:t xml:space="preserve"> </w:t>
      </w:r>
      <w:r w:rsidR="00521120" w:rsidRPr="00CF48A1">
        <w:t>prévalence, ses complications</w:t>
      </w:r>
      <w:r w:rsidR="00A03FB0" w:rsidRPr="00CF48A1">
        <w:t xml:space="preserve"> lourdes</w:t>
      </w:r>
      <w:r w:rsidR="00554661" w:rsidRPr="00CF48A1">
        <w:t xml:space="preserve"> et son taux de </w:t>
      </w:r>
      <w:r w:rsidRPr="00CF48A1">
        <w:t xml:space="preserve">mortalité </w:t>
      </w:r>
      <w:r w:rsidR="00554661" w:rsidRPr="00CF48A1">
        <w:t>dans le monde</w:t>
      </w:r>
      <w:r w:rsidR="00CE1AB9" w:rsidRPr="00CF48A1">
        <w:t xml:space="preserve"> </w:t>
      </w:r>
      <w:r w:rsidRPr="00CF48A1">
        <w:t>(1)</w:t>
      </w:r>
      <w:r w:rsidR="007B0E79" w:rsidRPr="00CF48A1">
        <w:t>(2)</w:t>
      </w:r>
      <w:r w:rsidRPr="00CF48A1">
        <w:t>.</w:t>
      </w:r>
    </w:p>
    <w:p w14:paraId="46698576" w14:textId="093A4F80" w:rsidR="00873A3E" w:rsidRPr="00CF48A1" w:rsidRDefault="00873A3E" w:rsidP="001978E9">
      <w:pPr>
        <w:spacing w:line="360" w:lineRule="auto"/>
        <w:jc w:val="both"/>
      </w:pPr>
      <w:r w:rsidRPr="00CF48A1">
        <w:lastRenderedPageBreak/>
        <w:t>Les inhibiteurs SGLT2 sont des médicaments efficaces et bien tolérés qui peuvent améliorer le pronostic des patients diabétiques de type 2 à risque cardiovasculaire ou rénal élevé</w:t>
      </w:r>
      <w:r w:rsidR="00A7022B" w:rsidRPr="00CF48A1">
        <w:t xml:space="preserve"> </w:t>
      </w:r>
      <w:r w:rsidR="007D421A" w:rsidRPr="00CF48A1">
        <w:t>(</w:t>
      </w:r>
      <w:r w:rsidR="007B0E79" w:rsidRPr="00CF48A1">
        <w:t>3</w:t>
      </w:r>
      <w:r w:rsidR="007D421A" w:rsidRPr="00CF48A1">
        <w:t>)</w:t>
      </w:r>
      <w:r w:rsidRPr="00CF48A1">
        <w:t>.</w:t>
      </w:r>
    </w:p>
    <w:p w14:paraId="1E019208" w14:textId="6E871E22" w:rsidR="00B11384" w:rsidRDefault="00BB7546" w:rsidP="001978E9">
      <w:pPr>
        <w:spacing w:line="360" w:lineRule="auto"/>
        <w:jc w:val="both"/>
      </w:pPr>
      <w:r w:rsidRPr="00CF48A1">
        <w:t xml:space="preserve">En tant que spécialise du médicament, le pharmacien d’officine joue un rôle clé </w:t>
      </w:r>
      <w:r w:rsidR="00997C13" w:rsidRPr="00CF48A1">
        <w:t xml:space="preserve">dans la gestion du diabète de type 2 via l'utilisation des inhibiteurs SGLT2 </w:t>
      </w:r>
      <w:r w:rsidRPr="00CF48A1">
        <w:t>;</w:t>
      </w:r>
      <w:r w:rsidR="00997C13" w:rsidRPr="00CF48A1">
        <w:t xml:space="preserve"> </w:t>
      </w:r>
      <w:r w:rsidRPr="00CF48A1">
        <w:t>Son rôle ne se limite pas à la distribution de médicaments, mais s’étend à l’éducation du patient et la détection précoce de tout évènement indésirable pouvant affecter l’observance du patient à son traitement</w:t>
      </w:r>
      <w:r w:rsidR="00A7022B" w:rsidRPr="00CF48A1">
        <w:t xml:space="preserve"> </w:t>
      </w:r>
      <w:r w:rsidR="007D421A" w:rsidRPr="00CF48A1">
        <w:t>(</w:t>
      </w:r>
      <w:r w:rsidR="007B0E79" w:rsidRPr="00CF48A1">
        <w:t>4</w:t>
      </w:r>
      <w:r w:rsidR="007D421A" w:rsidRPr="00CF48A1">
        <w:t>)</w:t>
      </w:r>
      <w:r w:rsidRPr="00CF48A1">
        <w:t>.</w:t>
      </w:r>
    </w:p>
    <w:p w14:paraId="059D4B13" w14:textId="77777777" w:rsidR="001978E9" w:rsidRPr="00CF48A1" w:rsidRDefault="001978E9" w:rsidP="001978E9">
      <w:pPr>
        <w:spacing w:line="360" w:lineRule="auto"/>
        <w:jc w:val="both"/>
      </w:pPr>
    </w:p>
    <w:p w14:paraId="3D4C0C7B" w14:textId="62CCCFE5" w:rsidR="00B11384" w:rsidRPr="00CF48A1" w:rsidRDefault="00380F80" w:rsidP="00380F80">
      <w:pPr>
        <w:pStyle w:val="Paragraphedeliste"/>
        <w:numPr>
          <w:ilvl w:val="0"/>
          <w:numId w:val="10"/>
        </w:numPr>
        <w:spacing w:line="360" w:lineRule="auto"/>
        <w:jc w:val="both"/>
        <w:rPr>
          <w:b/>
          <w:bCs/>
        </w:rPr>
      </w:pPr>
      <w:r w:rsidRPr="00CF48A1">
        <w:rPr>
          <w:b/>
          <w:bCs/>
        </w:rPr>
        <w:t xml:space="preserve">MATERIEL ET METHODE </w:t>
      </w:r>
    </w:p>
    <w:p w14:paraId="0E5114D4" w14:textId="0EF192A9" w:rsidR="00A7022B" w:rsidRPr="00CF48A1" w:rsidRDefault="00B11384" w:rsidP="00A7022B">
      <w:pPr>
        <w:spacing w:line="360" w:lineRule="auto"/>
        <w:jc w:val="both"/>
      </w:pPr>
      <w:r w:rsidRPr="00CF48A1">
        <w:t xml:space="preserve">Il s’agit d’une étude </w:t>
      </w:r>
      <w:r w:rsidR="00A7022B" w:rsidRPr="00CF48A1">
        <w:t xml:space="preserve">prospective </w:t>
      </w:r>
      <w:r w:rsidRPr="00CF48A1">
        <w:t xml:space="preserve">transversale </w:t>
      </w:r>
      <w:r w:rsidR="00A7022B" w:rsidRPr="00CF48A1">
        <w:t xml:space="preserve">et </w:t>
      </w:r>
      <w:r w:rsidRPr="00CF48A1">
        <w:t>descriptive visant à évaluer, les connaissances de</w:t>
      </w:r>
      <w:r w:rsidR="00A7022B" w:rsidRPr="00CF48A1">
        <w:t xml:space="preserve"> 147</w:t>
      </w:r>
      <w:r w:rsidRPr="00CF48A1">
        <w:t xml:space="preserve"> pharmaciens </w:t>
      </w:r>
      <w:r w:rsidR="00581715" w:rsidRPr="00CF48A1">
        <w:t xml:space="preserve">d’officines </w:t>
      </w:r>
      <w:r w:rsidR="00A7022B" w:rsidRPr="00CF48A1">
        <w:t xml:space="preserve">de la préfecture de Rabat </w:t>
      </w:r>
      <w:r w:rsidRPr="00CF48A1">
        <w:t xml:space="preserve">sur les inhibiteurs SGLT2. </w:t>
      </w:r>
      <w:r w:rsidR="00A7022B" w:rsidRPr="00CF48A1">
        <w:t>Durant une période de six mois (du10/01/2023 au 10/07/2023).</w:t>
      </w:r>
    </w:p>
    <w:p w14:paraId="1AFB0E54" w14:textId="1C2FC8DE" w:rsidR="00A7022B" w:rsidRPr="00CF48A1" w:rsidRDefault="00A7022B" w:rsidP="00610615">
      <w:pPr>
        <w:spacing w:line="360" w:lineRule="auto"/>
        <w:jc w:val="both"/>
      </w:pPr>
      <w:r w:rsidRPr="00CF48A1">
        <w:t xml:space="preserve">Seuls les pharmaciens d’officine, en exercice, propriétaires, remplaçants ou assistants, ayant une expérience minimale de six mois en pharmacie ont été inclus dans notre étude. </w:t>
      </w:r>
    </w:p>
    <w:p w14:paraId="7361C664" w14:textId="3834BABB" w:rsidR="00B52A87" w:rsidRPr="00CF48A1" w:rsidRDefault="00B11384" w:rsidP="00610615">
      <w:pPr>
        <w:spacing w:line="360" w:lineRule="auto"/>
        <w:jc w:val="both"/>
      </w:pPr>
      <w:r w:rsidRPr="00CF48A1">
        <w:t>La métho</w:t>
      </w:r>
      <w:r w:rsidR="00581715" w:rsidRPr="00CF48A1">
        <w:t>de utilisée</w:t>
      </w:r>
      <w:r w:rsidRPr="00CF48A1">
        <w:t xml:space="preserve"> repose sur la collecte des informations à partir d’un questionnaire qui a été créé à l</w:t>
      </w:r>
      <w:r w:rsidR="000574BB" w:rsidRPr="00CF48A1">
        <w:t>’</w:t>
      </w:r>
      <w:r w:rsidRPr="00CF48A1">
        <w:t>aide de l</w:t>
      </w:r>
      <w:r w:rsidR="000574BB" w:rsidRPr="00CF48A1">
        <w:t>’</w:t>
      </w:r>
      <w:r w:rsidRPr="00CF48A1">
        <w:t>outil Google Forms</w:t>
      </w:r>
      <w:r w:rsidR="00A7022B" w:rsidRPr="00CF48A1">
        <w:t xml:space="preserve"> </w:t>
      </w:r>
      <w:r w:rsidR="00ED708A" w:rsidRPr="00CF48A1">
        <w:t>et validé par 03 experts (1 professeur en pharmacie clinique</w:t>
      </w:r>
      <w:r w:rsidR="001978E9" w:rsidRPr="00CF48A1">
        <w:t xml:space="preserve"> </w:t>
      </w:r>
      <w:r w:rsidR="00ED708A" w:rsidRPr="00CF48A1">
        <w:t>et deux médecins endocrinologues)</w:t>
      </w:r>
      <w:r w:rsidR="00AE3644" w:rsidRPr="00CF48A1">
        <w:t xml:space="preserve"> comprenant</w:t>
      </w:r>
      <w:r w:rsidRPr="00CF48A1">
        <w:t xml:space="preserve"> </w:t>
      </w:r>
      <w:r w:rsidR="00D01BE3" w:rsidRPr="00CF48A1">
        <w:t>19</w:t>
      </w:r>
      <w:r w:rsidRPr="00CF48A1">
        <w:t xml:space="preserve"> </w:t>
      </w:r>
      <w:r w:rsidR="0037774B" w:rsidRPr="00CF48A1">
        <w:t>questions divisée</w:t>
      </w:r>
      <w:r w:rsidRPr="00CF48A1">
        <w:t xml:space="preserve"> en </w:t>
      </w:r>
      <w:r w:rsidR="0037774B" w:rsidRPr="00CF48A1">
        <w:t>trois parties</w:t>
      </w:r>
      <w:r w:rsidR="000574BB" w:rsidRPr="00CF48A1">
        <w:t> </w:t>
      </w:r>
      <w:r w:rsidR="001978E9" w:rsidRPr="00CF48A1">
        <w:t xml:space="preserve">(annexe 1) </w:t>
      </w:r>
      <w:r w:rsidR="00B52A87" w:rsidRPr="00CF48A1">
        <w:t>:</w:t>
      </w:r>
    </w:p>
    <w:p w14:paraId="0904D3D5" w14:textId="0B06DBF7" w:rsidR="00A6277F" w:rsidRPr="00CF48A1" w:rsidRDefault="00B52A87" w:rsidP="00610615">
      <w:pPr>
        <w:spacing w:line="360" w:lineRule="auto"/>
        <w:jc w:val="both"/>
      </w:pPr>
      <w:r w:rsidRPr="00CF48A1">
        <w:t>-</w:t>
      </w:r>
      <w:r w:rsidR="00B11384" w:rsidRPr="00CF48A1">
        <w:t>La première</w:t>
      </w:r>
      <w:r w:rsidR="00A7022B" w:rsidRPr="00CF48A1">
        <w:t xml:space="preserve"> partie</w:t>
      </w:r>
      <w:r w:rsidR="007D421A" w:rsidRPr="00CF48A1">
        <w:t xml:space="preserve"> </w:t>
      </w:r>
      <w:r w:rsidR="00A6277F" w:rsidRPr="00CF48A1">
        <w:t>concerne</w:t>
      </w:r>
      <w:r w:rsidR="00B11384" w:rsidRPr="00CF48A1">
        <w:t xml:space="preserve"> les données démographiques et professionnelles </w:t>
      </w:r>
    </w:p>
    <w:p w14:paraId="193F3C44" w14:textId="16E43779" w:rsidR="00AE3644" w:rsidRPr="00610615" w:rsidRDefault="00B52A87" w:rsidP="00610615">
      <w:pPr>
        <w:spacing w:line="360" w:lineRule="auto"/>
        <w:jc w:val="both"/>
      </w:pPr>
      <w:r w:rsidRPr="00CF48A1">
        <w:t>-</w:t>
      </w:r>
      <w:r w:rsidR="00B11384" w:rsidRPr="00CF48A1">
        <w:t xml:space="preserve">La </w:t>
      </w:r>
      <w:r w:rsidR="00B11384" w:rsidRPr="00610615">
        <w:t xml:space="preserve">deuxième </w:t>
      </w:r>
      <w:r w:rsidR="00A7022B" w:rsidRPr="00610615">
        <w:t xml:space="preserve">partie porte </w:t>
      </w:r>
      <w:r w:rsidR="00AE3644" w:rsidRPr="00610615">
        <w:t xml:space="preserve">des </w:t>
      </w:r>
      <w:r w:rsidR="00B11384" w:rsidRPr="00610615">
        <w:t xml:space="preserve">questions </w:t>
      </w:r>
      <w:r w:rsidR="001978E9" w:rsidRPr="00610615">
        <w:t>sur</w:t>
      </w:r>
      <w:r w:rsidR="00B11384" w:rsidRPr="00610615">
        <w:t xml:space="preserve"> l</w:t>
      </w:r>
      <w:r w:rsidR="001978E9" w:rsidRPr="00610615">
        <w:t>es</w:t>
      </w:r>
      <w:r w:rsidR="00B11384" w:rsidRPr="00610615">
        <w:t xml:space="preserve"> connaissance</w:t>
      </w:r>
      <w:r w:rsidR="001978E9" w:rsidRPr="00610615">
        <w:t>s</w:t>
      </w:r>
      <w:r w:rsidR="00B11384" w:rsidRPr="00610615">
        <w:t xml:space="preserve"> des pharmaciens sur les inhibiteurs du SGLT2</w:t>
      </w:r>
      <w:r w:rsidR="004F70CD" w:rsidRPr="00610615">
        <w:t xml:space="preserve"> </w:t>
      </w:r>
    </w:p>
    <w:p w14:paraId="29F7C4C9" w14:textId="01721FAB" w:rsidR="00B52A87" w:rsidRPr="00610615" w:rsidRDefault="00B52A87" w:rsidP="00610615">
      <w:pPr>
        <w:spacing w:line="360" w:lineRule="auto"/>
        <w:jc w:val="both"/>
      </w:pPr>
      <w:r w:rsidRPr="00610615">
        <w:t>-</w:t>
      </w:r>
      <w:r w:rsidR="00B11384" w:rsidRPr="00610615">
        <w:t xml:space="preserve">La troisième </w:t>
      </w:r>
      <w:r w:rsidR="00965BEF" w:rsidRPr="00610615">
        <w:t>partie concernant</w:t>
      </w:r>
      <w:r w:rsidR="00B11384" w:rsidRPr="00610615">
        <w:t xml:space="preserve"> </w:t>
      </w:r>
      <w:r w:rsidR="00103C95" w:rsidRPr="00610615">
        <w:t xml:space="preserve">leurs </w:t>
      </w:r>
      <w:r w:rsidR="00610615">
        <w:t>p</w:t>
      </w:r>
      <w:r w:rsidR="00610615" w:rsidRPr="00610615">
        <w:t xml:space="preserve">ratiques et </w:t>
      </w:r>
      <w:r w:rsidR="00610615">
        <w:t>p</w:t>
      </w:r>
      <w:r w:rsidR="00610615" w:rsidRPr="00610615">
        <w:t>erceptions à propos des Inhibiteurs du SGLT2</w:t>
      </w:r>
    </w:p>
    <w:p w14:paraId="745596EC" w14:textId="1A018EFA" w:rsidR="00103C95" w:rsidRPr="00CF48A1" w:rsidRDefault="00C54A68" w:rsidP="00610615">
      <w:pPr>
        <w:spacing w:line="480" w:lineRule="auto"/>
        <w:jc w:val="both"/>
      </w:pPr>
      <w:r w:rsidRPr="00610615">
        <w:t>Le c</w:t>
      </w:r>
      <w:r w:rsidR="00B11384" w:rsidRPr="00610615">
        <w:t>ollecte</w:t>
      </w:r>
      <w:r w:rsidR="00103C95" w:rsidRPr="00610615">
        <w:t xml:space="preserve"> </w:t>
      </w:r>
      <w:r w:rsidR="00B11384" w:rsidRPr="00610615">
        <w:t xml:space="preserve">des </w:t>
      </w:r>
      <w:r w:rsidR="00ED708A" w:rsidRPr="00610615">
        <w:t xml:space="preserve">données </w:t>
      </w:r>
      <w:r w:rsidRPr="00610615">
        <w:t>s’est faite d</w:t>
      </w:r>
      <w:r w:rsidR="00772D3A" w:rsidRPr="00610615">
        <w:t xml:space="preserve">irectement chez les officines des pharmaciens participants ou par la diffusion du questionnaire en </w:t>
      </w:r>
      <w:r w:rsidR="00965BEF" w:rsidRPr="00610615">
        <w:t>ligne sur</w:t>
      </w:r>
      <w:r w:rsidR="00772D3A" w:rsidRPr="00610615">
        <w:t xml:space="preserve"> la plateforme</w:t>
      </w:r>
      <w:r w:rsidR="00B11384" w:rsidRPr="00610615">
        <w:t xml:space="preserve"> WhatsApp</w:t>
      </w:r>
      <w:r w:rsidR="00772D3A" w:rsidRPr="00610615">
        <w:t>.</w:t>
      </w:r>
      <w:r w:rsidR="00103C95" w:rsidRPr="00610615">
        <w:t xml:space="preserve"> Ensuite l</w:t>
      </w:r>
      <w:r w:rsidR="00B11384" w:rsidRPr="00610615">
        <w:t>es informations recueillies ont</w:t>
      </w:r>
      <w:r w:rsidR="00B11384" w:rsidRPr="00CF48A1">
        <w:t xml:space="preserve"> été saisies et analysées </w:t>
      </w:r>
      <w:r w:rsidR="001978E9" w:rsidRPr="00CF48A1">
        <w:t>sur le</w:t>
      </w:r>
      <w:r w:rsidR="00B11384" w:rsidRPr="00CF48A1">
        <w:t xml:space="preserve"> logiciel SPSS version 24</w:t>
      </w:r>
      <w:r w:rsidR="00103C95" w:rsidRPr="00CF48A1">
        <w:t>.</w:t>
      </w:r>
    </w:p>
    <w:p w14:paraId="16F500CE" w14:textId="1F81B36A" w:rsidR="00B11384" w:rsidRPr="00CF48A1" w:rsidRDefault="00C54A68" w:rsidP="00C54A68">
      <w:pPr>
        <w:spacing w:line="360" w:lineRule="auto"/>
        <w:jc w:val="both"/>
      </w:pPr>
      <w:r w:rsidRPr="00CF48A1">
        <w:t>-</w:t>
      </w:r>
      <w:r w:rsidR="00B11384" w:rsidRPr="00CF48A1">
        <w:t>Ethique</w:t>
      </w:r>
      <w:r w:rsidR="00ED708A" w:rsidRPr="00CF48A1">
        <w:t> :</w:t>
      </w:r>
      <w:r w:rsidRPr="00CF48A1">
        <w:t xml:space="preserve"> </w:t>
      </w:r>
      <w:r w:rsidR="003A08DE" w:rsidRPr="00CF48A1">
        <w:t>Nous</w:t>
      </w:r>
      <w:r w:rsidR="00ED708A" w:rsidRPr="00CF48A1">
        <w:t xml:space="preserve"> av</w:t>
      </w:r>
      <w:r w:rsidRPr="00CF48A1">
        <w:t>o</w:t>
      </w:r>
      <w:r w:rsidR="00ED708A" w:rsidRPr="00CF48A1">
        <w:t>ns assuré la préservation de la confidentialité et de l'anonymat des pharmaciens participants tout au long de l'étude.</w:t>
      </w:r>
    </w:p>
    <w:p w14:paraId="502C96BB" w14:textId="77777777" w:rsidR="00B11384" w:rsidRPr="00CF48A1" w:rsidRDefault="00B11384" w:rsidP="009A5599">
      <w:pPr>
        <w:jc w:val="both"/>
      </w:pPr>
    </w:p>
    <w:p w14:paraId="599F711A" w14:textId="5A498F42" w:rsidR="00B11384" w:rsidRPr="00CF48A1" w:rsidRDefault="00380F80" w:rsidP="00380F80">
      <w:pPr>
        <w:pStyle w:val="Paragraphedeliste"/>
        <w:numPr>
          <w:ilvl w:val="0"/>
          <w:numId w:val="10"/>
        </w:numPr>
        <w:spacing w:line="360" w:lineRule="auto"/>
        <w:jc w:val="both"/>
        <w:rPr>
          <w:b/>
          <w:bCs/>
        </w:rPr>
      </w:pPr>
      <w:r w:rsidRPr="00CF48A1">
        <w:rPr>
          <w:b/>
          <w:bCs/>
        </w:rPr>
        <w:t>RESULTATS :</w:t>
      </w:r>
    </w:p>
    <w:p w14:paraId="3F67A316" w14:textId="05E861A1" w:rsidR="001978E9" w:rsidRPr="00CF48A1" w:rsidRDefault="00F7494F" w:rsidP="001978E9">
      <w:pPr>
        <w:spacing w:line="360" w:lineRule="auto"/>
        <w:jc w:val="both"/>
        <w:rPr>
          <w:i/>
          <w:iCs/>
          <w:u w:val="single"/>
        </w:rPr>
      </w:pPr>
      <w:r w:rsidRPr="00CF48A1">
        <w:rPr>
          <w:i/>
          <w:iCs/>
          <w:u w:val="single"/>
        </w:rPr>
        <w:t>1)</w:t>
      </w:r>
      <w:r w:rsidR="00C54A68" w:rsidRPr="00CF48A1">
        <w:rPr>
          <w:i/>
          <w:iCs/>
          <w:u w:val="single"/>
        </w:rPr>
        <w:t xml:space="preserve">La première partie du questionnaire : </w:t>
      </w:r>
      <w:r w:rsidR="00B11384" w:rsidRPr="00CF48A1">
        <w:rPr>
          <w:i/>
          <w:iCs/>
          <w:u w:val="single"/>
        </w:rPr>
        <w:t>Les données démographiques et professionnelles</w:t>
      </w:r>
      <w:r w:rsidR="001978E9" w:rsidRPr="00CF48A1">
        <w:rPr>
          <w:i/>
          <w:iCs/>
          <w:u w:val="single"/>
        </w:rPr>
        <w:t> :</w:t>
      </w:r>
    </w:p>
    <w:p w14:paraId="03542A1E" w14:textId="77777777" w:rsidR="001978E9" w:rsidRPr="00CF48A1" w:rsidRDefault="001978E9" w:rsidP="001978E9">
      <w:pPr>
        <w:spacing w:line="360" w:lineRule="auto"/>
        <w:jc w:val="both"/>
        <w:rPr>
          <w:i/>
          <w:iCs/>
          <w:u w:val="single"/>
        </w:rPr>
      </w:pPr>
    </w:p>
    <w:p w14:paraId="68CE4EED" w14:textId="1A7D9AFB" w:rsidR="00C54A68" w:rsidRPr="00CF48A1" w:rsidRDefault="00C54A68" w:rsidP="00C54A68">
      <w:pPr>
        <w:jc w:val="center"/>
      </w:pPr>
      <w:r w:rsidRPr="00CF48A1">
        <w:t>Tableau 1 : Répartition des participants selon les données démographique et professionnelles</w:t>
      </w:r>
    </w:p>
    <w:tbl>
      <w:tblPr>
        <w:tblW w:w="9595" w:type="dxa"/>
        <w:tblInd w:w="75" w:type="dxa"/>
        <w:tblCellMar>
          <w:left w:w="70" w:type="dxa"/>
          <w:right w:w="70" w:type="dxa"/>
        </w:tblCellMar>
        <w:tblLook w:val="04A0" w:firstRow="1" w:lastRow="0" w:firstColumn="1" w:lastColumn="0" w:noHBand="0" w:noVBand="1"/>
      </w:tblPr>
      <w:tblGrid>
        <w:gridCol w:w="5098"/>
        <w:gridCol w:w="1717"/>
        <w:gridCol w:w="2780"/>
      </w:tblGrid>
      <w:tr w:rsidR="00857A4B" w:rsidRPr="00CF48A1" w14:paraId="7C73BC28" w14:textId="77777777" w:rsidTr="00857A4B">
        <w:trPr>
          <w:trHeight w:val="462"/>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B4410" w14:textId="75143827" w:rsidR="00857A4B" w:rsidRPr="00CF48A1" w:rsidRDefault="00857A4B" w:rsidP="00C54A68">
            <w:pPr>
              <w:rPr>
                <w:rFonts w:eastAsia="Times New Roman"/>
                <w:color w:val="000000"/>
                <w:lang w:eastAsia="fr-FR"/>
              </w:rPr>
            </w:pPr>
            <w:r w:rsidRPr="00CF48A1">
              <w:t>Les données démographiques et professionnelles</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55BEE317" w14:textId="77777777" w:rsidR="00857A4B" w:rsidRPr="00CF48A1" w:rsidRDefault="00857A4B" w:rsidP="00C54A68">
            <w:pPr>
              <w:jc w:val="center"/>
              <w:rPr>
                <w:rFonts w:asciiTheme="majorBidi" w:eastAsia="Times New Roman" w:hAnsiTheme="majorBidi" w:cstheme="majorBidi"/>
                <w:color w:val="000000"/>
                <w:lang w:eastAsia="fr-FR"/>
              </w:rPr>
            </w:pPr>
            <w:r w:rsidRPr="00CF48A1">
              <w:rPr>
                <w:rFonts w:asciiTheme="majorBidi" w:eastAsia="Times New Roman" w:hAnsiTheme="majorBidi" w:cstheme="majorBidi"/>
                <w:color w:val="000000"/>
                <w:lang w:eastAsia="fr-FR"/>
              </w:rPr>
              <w:t>Effectifs</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14:paraId="171ADBEC" w14:textId="77777777" w:rsidR="00857A4B" w:rsidRPr="00CF48A1" w:rsidRDefault="00857A4B" w:rsidP="00C54A68">
            <w:pPr>
              <w:jc w:val="center"/>
              <w:rPr>
                <w:rFonts w:asciiTheme="majorBidi" w:eastAsia="Times New Roman" w:hAnsiTheme="majorBidi" w:cstheme="majorBidi"/>
                <w:color w:val="000000"/>
                <w:lang w:eastAsia="fr-FR"/>
              </w:rPr>
            </w:pPr>
            <w:r w:rsidRPr="00CF48A1">
              <w:rPr>
                <w:rFonts w:asciiTheme="majorBidi" w:eastAsia="Times New Roman" w:hAnsiTheme="majorBidi" w:cstheme="majorBidi"/>
                <w:color w:val="000000"/>
                <w:lang w:eastAsia="fr-FR"/>
              </w:rPr>
              <w:t>Pourcentage</w:t>
            </w:r>
          </w:p>
        </w:tc>
      </w:tr>
      <w:tr w:rsidR="00857A4B" w:rsidRPr="00CF48A1" w14:paraId="2CC77E91" w14:textId="77777777" w:rsidTr="00857A4B">
        <w:trPr>
          <w:trHeight w:val="509"/>
        </w:trPr>
        <w:tc>
          <w:tcPr>
            <w:tcW w:w="95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06390C" w14:textId="77777777" w:rsidR="00857A4B" w:rsidRPr="00CF48A1" w:rsidRDefault="00857A4B" w:rsidP="00857A4B">
            <w:pPr>
              <w:jc w:val="center"/>
              <w:rPr>
                <w:rFonts w:eastAsia="Times New Roman"/>
                <w:b/>
                <w:bCs/>
                <w:color w:val="000000"/>
                <w:lang w:eastAsia="fr-FR"/>
              </w:rPr>
            </w:pPr>
            <w:r w:rsidRPr="00CF48A1">
              <w:rPr>
                <w:rFonts w:eastAsia="Times New Roman"/>
                <w:b/>
                <w:bCs/>
                <w:color w:val="000000"/>
                <w:lang w:eastAsia="fr-FR"/>
              </w:rPr>
              <w:lastRenderedPageBreak/>
              <w:t>Sexe</w:t>
            </w:r>
          </w:p>
        </w:tc>
      </w:tr>
      <w:tr w:rsidR="00857A4B" w:rsidRPr="00CF48A1" w14:paraId="68866E71" w14:textId="77777777" w:rsidTr="00857A4B">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C4F483B" w14:textId="77777777" w:rsidR="00857A4B" w:rsidRPr="00CF48A1" w:rsidRDefault="00857A4B" w:rsidP="00857A4B">
            <w:pPr>
              <w:jc w:val="both"/>
              <w:rPr>
                <w:rFonts w:eastAsia="Times New Roman"/>
                <w:color w:val="000000"/>
                <w:lang w:eastAsia="fr-FR"/>
              </w:rPr>
            </w:pPr>
            <w:r w:rsidRPr="00CF48A1">
              <w:rPr>
                <w:rFonts w:eastAsia="Times New Roman"/>
                <w:color w:val="000000"/>
                <w:lang w:eastAsia="fr-FR"/>
              </w:rPr>
              <w:t>Femme</w:t>
            </w:r>
          </w:p>
        </w:tc>
        <w:tc>
          <w:tcPr>
            <w:tcW w:w="1717" w:type="dxa"/>
            <w:tcBorders>
              <w:top w:val="nil"/>
              <w:left w:val="nil"/>
              <w:bottom w:val="single" w:sz="4" w:space="0" w:color="auto"/>
              <w:right w:val="single" w:sz="4" w:space="0" w:color="auto"/>
            </w:tcBorders>
            <w:shd w:val="clear" w:color="auto" w:fill="auto"/>
            <w:noWrap/>
            <w:vAlign w:val="center"/>
            <w:hideMark/>
          </w:tcPr>
          <w:p w14:paraId="0892EB2F" w14:textId="77777777" w:rsidR="00857A4B" w:rsidRPr="00CF48A1" w:rsidRDefault="00857A4B" w:rsidP="00857A4B">
            <w:pPr>
              <w:jc w:val="center"/>
              <w:rPr>
                <w:rFonts w:ascii="Calibri" w:eastAsia="Times New Roman" w:hAnsi="Calibri" w:cs="Calibri"/>
                <w:color w:val="000000"/>
                <w:lang w:eastAsia="fr-FR"/>
              </w:rPr>
            </w:pPr>
            <w:r w:rsidRPr="00CF48A1">
              <w:rPr>
                <w:rFonts w:ascii="Calibri" w:eastAsia="Times New Roman" w:hAnsi="Calibri" w:cs="Calibri"/>
                <w:color w:val="000000"/>
                <w:lang w:eastAsia="fr-FR"/>
              </w:rPr>
              <w:t>76</w:t>
            </w:r>
          </w:p>
        </w:tc>
        <w:tc>
          <w:tcPr>
            <w:tcW w:w="2780" w:type="dxa"/>
            <w:tcBorders>
              <w:top w:val="nil"/>
              <w:left w:val="nil"/>
              <w:bottom w:val="single" w:sz="4" w:space="0" w:color="auto"/>
              <w:right w:val="single" w:sz="4" w:space="0" w:color="auto"/>
            </w:tcBorders>
            <w:shd w:val="clear" w:color="auto" w:fill="auto"/>
            <w:noWrap/>
            <w:vAlign w:val="center"/>
            <w:hideMark/>
          </w:tcPr>
          <w:p w14:paraId="07552559" w14:textId="77777777" w:rsidR="00857A4B" w:rsidRPr="00CF48A1" w:rsidRDefault="00857A4B" w:rsidP="00857A4B">
            <w:pPr>
              <w:jc w:val="center"/>
              <w:rPr>
                <w:rFonts w:ascii="Calibri" w:eastAsia="Times New Roman" w:hAnsi="Calibri" w:cs="Calibri"/>
                <w:b/>
                <w:bCs/>
                <w:color w:val="000000"/>
                <w:sz w:val="28"/>
                <w:szCs w:val="28"/>
                <w:lang w:eastAsia="fr-FR"/>
              </w:rPr>
            </w:pPr>
            <w:r w:rsidRPr="00CF48A1">
              <w:rPr>
                <w:rFonts w:ascii="Calibri" w:eastAsia="Times New Roman" w:hAnsi="Calibri" w:cs="Calibri"/>
                <w:b/>
                <w:bCs/>
                <w:color w:val="000000"/>
                <w:sz w:val="28"/>
                <w:szCs w:val="28"/>
                <w:lang w:eastAsia="fr-FR"/>
              </w:rPr>
              <w:t>51.7%</w:t>
            </w:r>
          </w:p>
        </w:tc>
      </w:tr>
      <w:tr w:rsidR="00857A4B" w:rsidRPr="00CF48A1" w14:paraId="753D0ACF" w14:textId="77777777" w:rsidTr="00857A4B">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847DE37" w14:textId="77777777" w:rsidR="00857A4B" w:rsidRPr="00CF48A1" w:rsidRDefault="00857A4B" w:rsidP="00857A4B">
            <w:pPr>
              <w:jc w:val="both"/>
              <w:rPr>
                <w:rFonts w:eastAsia="Times New Roman"/>
                <w:color w:val="000000"/>
                <w:lang w:eastAsia="fr-FR"/>
              </w:rPr>
            </w:pPr>
            <w:r w:rsidRPr="00CF48A1">
              <w:rPr>
                <w:rFonts w:eastAsia="Times New Roman"/>
                <w:color w:val="000000"/>
                <w:lang w:eastAsia="fr-FR"/>
              </w:rPr>
              <w:t xml:space="preserve">Homme </w:t>
            </w:r>
          </w:p>
        </w:tc>
        <w:tc>
          <w:tcPr>
            <w:tcW w:w="1717" w:type="dxa"/>
            <w:tcBorders>
              <w:top w:val="nil"/>
              <w:left w:val="nil"/>
              <w:bottom w:val="single" w:sz="4" w:space="0" w:color="auto"/>
              <w:right w:val="single" w:sz="4" w:space="0" w:color="auto"/>
            </w:tcBorders>
            <w:shd w:val="clear" w:color="auto" w:fill="auto"/>
            <w:noWrap/>
            <w:vAlign w:val="center"/>
            <w:hideMark/>
          </w:tcPr>
          <w:p w14:paraId="48248C71" w14:textId="77777777" w:rsidR="00857A4B" w:rsidRPr="00CF48A1" w:rsidRDefault="00857A4B" w:rsidP="00857A4B">
            <w:pPr>
              <w:jc w:val="center"/>
              <w:rPr>
                <w:rFonts w:ascii="Calibri" w:eastAsia="Times New Roman" w:hAnsi="Calibri" w:cs="Calibri"/>
                <w:color w:val="000000"/>
                <w:lang w:eastAsia="fr-FR"/>
              </w:rPr>
            </w:pPr>
            <w:r w:rsidRPr="00CF48A1">
              <w:rPr>
                <w:rFonts w:ascii="Calibri" w:eastAsia="Times New Roman" w:hAnsi="Calibri" w:cs="Calibri"/>
                <w:color w:val="000000"/>
                <w:lang w:eastAsia="fr-FR"/>
              </w:rPr>
              <w:t>71</w:t>
            </w:r>
          </w:p>
        </w:tc>
        <w:tc>
          <w:tcPr>
            <w:tcW w:w="2780" w:type="dxa"/>
            <w:tcBorders>
              <w:top w:val="nil"/>
              <w:left w:val="nil"/>
              <w:bottom w:val="single" w:sz="4" w:space="0" w:color="auto"/>
              <w:right w:val="single" w:sz="4" w:space="0" w:color="auto"/>
            </w:tcBorders>
            <w:shd w:val="clear" w:color="auto" w:fill="auto"/>
            <w:noWrap/>
            <w:vAlign w:val="center"/>
            <w:hideMark/>
          </w:tcPr>
          <w:p w14:paraId="3D2CA830" w14:textId="77777777" w:rsidR="00857A4B" w:rsidRPr="00CF48A1" w:rsidRDefault="00857A4B" w:rsidP="00857A4B">
            <w:pPr>
              <w:jc w:val="center"/>
              <w:rPr>
                <w:rFonts w:ascii="Calibri" w:eastAsia="Times New Roman" w:hAnsi="Calibri" w:cs="Calibri"/>
                <w:b/>
                <w:bCs/>
                <w:color w:val="000000"/>
                <w:sz w:val="28"/>
                <w:szCs w:val="28"/>
                <w:lang w:eastAsia="fr-FR"/>
              </w:rPr>
            </w:pPr>
            <w:r w:rsidRPr="00CF48A1">
              <w:rPr>
                <w:rFonts w:ascii="Calibri" w:eastAsia="Times New Roman" w:hAnsi="Calibri" w:cs="Calibri"/>
                <w:b/>
                <w:bCs/>
                <w:color w:val="000000"/>
                <w:sz w:val="28"/>
                <w:szCs w:val="28"/>
                <w:lang w:eastAsia="fr-FR"/>
              </w:rPr>
              <w:t>48.3%</w:t>
            </w:r>
          </w:p>
        </w:tc>
      </w:tr>
      <w:tr w:rsidR="00857A4B" w:rsidRPr="00CF48A1" w14:paraId="11E85D0E" w14:textId="77777777" w:rsidTr="00857A4B">
        <w:trPr>
          <w:trHeight w:val="450"/>
        </w:trPr>
        <w:tc>
          <w:tcPr>
            <w:tcW w:w="9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48B14" w14:textId="77777777" w:rsidR="00857A4B" w:rsidRPr="00CF48A1" w:rsidRDefault="00857A4B" w:rsidP="00857A4B">
            <w:pPr>
              <w:jc w:val="center"/>
              <w:rPr>
                <w:rFonts w:eastAsia="Times New Roman"/>
                <w:b/>
                <w:bCs/>
                <w:color w:val="000000"/>
                <w:lang w:eastAsia="fr-FR"/>
              </w:rPr>
            </w:pPr>
            <w:r w:rsidRPr="00CF48A1">
              <w:rPr>
                <w:rFonts w:eastAsia="Times New Roman"/>
                <w:b/>
                <w:bCs/>
                <w:color w:val="000000"/>
                <w:lang w:eastAsia="fr-FR"/>
              </w:rPr>
              <w:t>Territoire d’exercice</w:t>
            </w:r>
          </w:p>
        </w:tc>
      </w:tr>
      <w:tr w:rsidR="00857A4B" w:rsidRPr="00CF48A1" w14:paraId="08CEA019" w14:textId="77777777" w:rsidTr="00857A4B">
        <w:trPr>
          <w:trHeight w:val="343"/>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1A468CF3" w14:textId="77777777" w:rsidR="00857A4B" w:rsidRPr="00CF48A1" w:rsidRDefault="00857A4B" w:rsidP="00857A4B">
            <w:pPr>
              <w:jc w:val="both"/>
              <w:rPr>
                <w:rFonts w:eastAsia="Times New Roman"/>
                <w:color w:val="000000"/>
                <w:lang w:eastAsia="fr-FR"/>
              </w:rPr>
            </w:pPr>
            <w:r w:rsidRPr="00CF48A1">
              <w:rPr>
                <w:rFonts w:eastAsia="Times New Roman"/>
                <w:color w:val="000000"/>
                <w:lang w:eastAsia="fr-FR"/>
              </w:rPr>
              <w:t>Rural</w:t>
            </w:r>
          </w:p>
        </w:tc>
        <w:tc>
          <w:tcPr>
            <w:tcW w:w="1717" w:type="dxa"/>
            <w:tcBorders>
              <w:top w:val="nil"/>
              <w:left w:val="nil"/>
              <w:bottom w:val="single" w:sz="4" w:space="0" w:color="auto"/>
              <w:right w:val="single" w:sz="4" w:space="0" w:color="auto"/>
            </w:tcBorders>
            <w:shd w:val="clear" w:color="auto" w:fill="auto"/>
            <w:noWrap/>
            <w:vAlign w:val="center"/>
            <w:hideMark/>
          </w:tcPr>
          <w:p w14:paraId="1F99F5DC"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8</w:t>
            </w:r>
          </w:p>
        </w:tc>
        <w:tc>
          <w:tcPr>
            <w:tcW w:w="2780" w:type="dxa"/>
            <w:tcBorders>
              <w:top w:val="nil"/>
              <w:left w:val="nil"/>
              <w:bottom w:val="single" w:sz="4" w:space="0" w:color="auto"/>
              <w:right w:val="single" w:sz="4" w:space="0" w:color="auto"/>
            </w:tcBorders>
            <w:shd w:val="clear" w:color="auto" w:fill="auto"/>
            <w:noWrap/>
            <w:vAlign w:val="center"/>
            <w:hideMark/>
          </w:tcPr>
          <w:p w14:paraId="7079B982" w14:textId="77777777" w:rsidR="00857A4B" w:rsidRPr="00CF48A1" w:rsidRDefault="00857A4B" w:rsidP="00857A4B">
            <w:pPr>
              <w:jc w:val="center"/>
              <w:rPr>
                <w:rFonts w:eastAsia="Times New Roman"/>
                <w:b/>
                <w:bCs/>
                <w:color w:val="000000"/>
                <w:sz w:val="28"/>
                <w:szCs w:val="28"/>
                <w:lang w:eastAsia="fr-FR"/>
              </w:rPr>
            </w:pPr>
            <w:r w:rsidRPr="00CF48A1">
              <w:rPr>
                <w:rFonts w:eastAsia="Times New Roman"/>
                <w:b/>
                <w:bCs/>
                <w:color w:val="000000"/>
                <w:sz w:val="28"/>
                <w:szCs w:val="28"/>
                <w:lang w:eastAsia="fr-FR"/>
              </w:rPr>
              <w:t>5%</w:t>
            </w:r>
          </w:p>
        </w:tc>
      </w:tr>
      <w:tr w:rsidR="00857A4B" w:rsidRPr="00CF48A1" w14:paraId="6D238443" w14:textId="77777777" w:rsidTr="00857A4B">
        <w:trPr>
          <w:trHeight w:val="343"/>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79E099E6" w14:textId="77777777" w:rsidR="00857A4B" w:rsidRPr="00CF48A1" w:rsidRDefault="00857A4B" w:rsidP="00857A4B">
            <w:pPr>
              <w:jc w:val="both"/>
              <w:rPr>
                <w:rFonts w:eastAsia="Times New Roman"/>
                <w:color w:val="000000"/>
                <w:lang w:eastAsia="fr-FR"/>
              </w:rPr>
            </w:pPr>
            <w:r w:rsidRPr="00CF48A1">
              <w:rPr>
                <w:rFonts w:eastAsia="Times New Roman"/>
                <w:color w:val="000000"/>
                <w:lang w:eastAsia="fr-FR"/>
              </w:rPr>
              <w:t>Urbain</w:t>
            </w:r>
          </w:p>
        </w:tc>
        <w:tc>
          <w:tcPr>
            <w:tcW w:w="1717" w:type="dxa"/>
            <w:tcBorders>
              <w:top w:val="nil"/>
              <w:left w:val="nil"/>
              <w:bottom w:val="single" w:sz="4" w:space="0" w:color="auto"/>
              <w:right w:val="single" w:sz="4" w:space="0" w:color="auto"/>
            </w:tcBorders>
            <w:shd w:val="clear" w:color="auto" w:fill="auto"/>
            <w:noWrap/>
            <w:vAlign w:val="center"/>
            <w:hideMark/>
          </w:tcPr>
          <w:p w14:paraId="387CFCF3"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139</w:t>
            </w:r>
          </w:p>
        </w:tc>
        <w:tc>
          <w:tcPr>
            <w:tcW w:w="2780" w:type="dxa"/>
            <w:tcBorders>
              <w:top w:val="nil"/>
              <w:left w:val="nil"/>
              <w:bottom w:val="single" w:sz="4" w:space="0" w:color="auto"/>
              <w:right w:val="single" w:sz="4" w:space="0" w:color="auto"/>
            </w:tcBorders>
            <w:shd w:val="clear" w:color="auto" w:fill="auto"/>
            <w:noWrap/>
            <w:vAlign w:val="center"/>
            <w:hideMark/>
          </w:tcPr>
          <w:p w14:paraId="2E00BB70" w14:textId="77777777" w:rsidR="00857A4B" w:rsidRPr="00CF48A1" w:rsidRDefault="00857A4B" w:rsidP="00857A4B">
            <w:pPr>
              <w:jc w:val="center"/>
              <w:rPr>
                <w:rFonts w:eastAsia="Times New Roman"/>
                <w:b/>
                <w:bCs/>
                <w:color w:val="000000"/>
                <w:sz w:val="28"/>
                <w:szCs w:val="28"/>
                <w:lang w:eastAsia="fr-FR"/>
              </w:rPr>
            </w:pPr>
            <w:r w:rsidRPr="00CF48A1">
              <w:rPr>
                <w:rFonts w:eastAsia="Times New Roman"/>
                <w:b/>
                <w:bCs/>
                <w:color w:val="000000"/>
                <w:sz w:val="28"/>
                <w:szCs w:val="28"/>
                <w:lang w:eastAsia="fr-FR"/>
              </w:rPr>
              <w:t>95%</w:t>
            </w:r>
          </w:p>
        </w:tc>
      </w:tr>
      <w:tr w:rsidR="00857A4B" w:rsidRPr="00CF48A1" w14:paraId="413C444C" w14:textId="77777777" w:rsidTr="00857A4B">
        <w:trPr>
          <w:trHeight w:val="628"/>
        </w:trPr>
        <w:tc>
          <w:tcPr>
            <w:tcW w:w="95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95F09C" w14:textId="77777777" w:rsidR="00857A4B" w:rsidRPr="00CF48A1" w:rsidRDefault="00857A4B" w:rsidP="00857A4B">
            <w:pPr>
              <w:jc w:val="center"/>
              <w:rPr>
                <w:rFonts w:eastAsia="Times New Roman"/>
                <w:b/>
                <w:bCs/>
                <w:color w:val="000000"/>
                <w:lang w:eastAsia="fr-FR"/>
              </w:rPr>
            </w:pPr>
            <w:r w:rsidRPr="00CF48A1">
              <w:rPr>
                <w:rFonts w:eastAsia="Times New Roman"/>
                <w:b/>
                <w:bCs/>
                <w:color w:val="000000"/>
                <w:lang w:eastAsia="fr-FR"/>
              </w:rPr>
              <w:t>Expérience professionnelle</w:t>
            </w:r>
          </w:p>
        </w:tc>
      </w:tr>
      <w:tr w:rsidR="00857A4B" w:rsidRPr="00CF48A1" w14:paraId="56F4EA9C" w14:textId="77777777" w:rsidTr="00857A4B">
        <w:trPr>
          <w:trHeight w:val="343"/>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014F738" w14:textId="77777777" w:rsidR="00857A4B" w:rsidRPr="00CF48A1" w:rsidRDefault="00857A4B" w:rsidP="00857A4B">
            <w:pPr>
              <w:jc w:val="both"/>
              <w:rPr>
                <w:rFonts w:eastAsia="Times New Roman"/>
                <w:color w:val="000000"/>
                <w:lang w:eastAsia="fr-FR"/>
              </w:rPr>
            </w:pPr>
            <w:r w:rsidRPr="00CF48A1">
              <w:rPr>
                <w:rFonts w:eastAsia="Times New Roman"/>
                <w:color w:val="000000"/>
                <w:lang w:eastAsia="fr-FR"/>
              </w:rPr>
              <w:t xml:space="preserve"> 0.5-5 ans</w:t>
            </w:r>
          </w:p>
        </w:tc>
        <w:tc>
          <w:tcPr>
            <w:tcW w:w="1717" w:type="dxa"/>
            <w:tcBorders>
              <w:top w:val="nil"/>
              <w:left w:val="nil"/>
              <w:bottom w:val="single" w:sz="4" w:space="0" w:color="auto"/>
              <w:right w:val="single" w:sz="4" w:space="0" w:color="auto"/>
            </w:tcBorders>
            <w:shd w:val="clear" w:color="auto" w:fill="auto"/>
            <w:vAlign w:val="center"/>
            <w:hideMark/>
          </w:tcPr>
          <w:p w14:paraId="7F5CF07D"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83</w:t>
            </w:r>
          </w:p>
        </w:tc>
        <w:tc>
          <w:tcPr>
            <w:tcW w:w="2780" w:type="dxa"/>
            <w:tcBorders>
              <w:top w:val="nil"/>
              <w:left w:val="nil"/>
              <w:bottom w:val="single" w:sz="4" w:space="0" w:color="auto"/>
              <w:right w:val="single" w:sz="4" w:space="0" w:color="auto"/>
            </w:tcBorders>
            <w:shd w:val="clear" w:color="auto" w:fill="auto"/>
            <w:vAlign w:val="center"/>
            <w:hideMark/>
          </w:tcPr>
          <w:p w14:paraId="2B82E0C0" w14:textId="77777777" w:rsidR="00857A4B" w:rsidRPr="00CF48A1" w:rsidRDefault="00857A4B" w:rsidP="00857A4B">
            <w:pPr>
              <w:jc w:val="center"/>
              <w:rPr>
                <w:rFonts w:eastAsia="Times New Roman"/>
                <w:b/>
                <w:bCs/>
                <w:color w:val="000000"/>
                <w:sz w:val="28"/>
                <w:szCs w:val="28"/>
                <w:lang w:eastAsia="fr-FR"/>
              </w:rPr>
            </w:pPr>
            <w:r w:rsidRPr="00CF48A1">
              <w:rPr>
                <w:rFonts w:eastAsia="Times New Roman"/>
                <w:b/>
                <w:bCs/>
                <w:color w:val="000000"/>
                <w:sz w:val="28"/>
                <w:szCs w:val="28"/>
                <w:lang w:eastAsia="fr-FR"/>
              </w:rPr>
              <w:t>56.5%</w:t>
            </w:r>
          </w:p>
        </w:tc>
      </w:tr>
      <w:tr w:rsidR="00857A4B" w:rsidRPr="00CF48A1" w14:paraId="57A32AA8" w14:textId="77777777" w:rsidTr="00857A4B">
        <w:trPr>
          <w:trHeight w:val="343"/>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CD939BE" w14:textId="77777777" w:rsidR="00857A4B" w:rsidRPr="00CF48A1" w:rsidRDefault="00857A4B" w:rsidP="00857A4B">
            <w:pPr>
              <w:jc w:val="both"/>
              <w:rPr>
                <w:rFonts w:eastAsia="Times New Roman"/>
                <w:color w:val="000000"/>
                <w:lang w:eastAsia="fr-FR"/>
              </w:rPr>
            </w:pPr>
            <w:r w:rsidRPr="00CF48A1">
              <w:rPr>
                <w:rFonts w:eastAsia="Times New Roman"/>
                <w:color w:val="000000"/>
                <w:lang w:eastAsia="fr-FR"/>
              </w:rPr>
              <w:t xml:space="preserve"> 5 -10 ans</w:t>
            </w:r>
          </w:p>
        </w:tc>
        <w:tc>
          <w:tcPr>
            <w:tcW w:w="1717" w:type="dxa"/>
            <w:tcBorders>
              <w:top w:val="nil"/>
              <w:left w:val="nil"/>
              <w:bottom w:val="single" w:sz="4" w:space="0" w:color="auto"/>
              <w:right w:val="single" w:sz="4" w:space="0" w:color="auto"/>
            </w:tcBorders>
            <w:shd w:val="clear" w:color="auto" w:fill="auto"/>
            <w:vAlign w:val="center"/>
            <w:hideMark/>
          </w:tcPr>
          <w:p w14:paraId="0488E40D"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44</w:t>
            </w:r>
          </w:p>
        </w:tc>
        <w:tc>
          <w:tcPr>
            <w:tcW w:w="2780" w:type="dxa"/>
            <w:tcBorders>
              <w:top w:val="nil"/>
              <w:left w:val="nil"/>
              <w:bottom w:val="single" w:sz="4" w:space="0" w:color="auto"/>
              <w:right w:val="single" w:sz="4" w:space="0" w:color="auto"/>
            </w:tcBorders>
            <w:shd w:val="clear" w:color="auto" w:fill="auto"/>
            <w:vAlign w:val="center"/>
            <w:hideMark/>
          </w:tcPr>
          <w:p w14:paraId="12A178C7" w14:textId="77777777" w:rsidR="00857A4B" w:rsidRPr="00CF48A1" w:rsidRDefault="00857A4B" w:rsidP="00857A4B">
            <w:pPr>
              <w:jc w:val="center"/>
              <w:rPr>
                <w:rFonts w:eastAsia="Times New Roman"/>
                <w:b/>
                <w:bCs/>
                <w:color w:val="000000"/>
                <w:sz w:val="28"/>
                <w:szCs w:val="28"/>
                <w:lang w:eastAsia="fr-FR"/>
              </w:rPr>
            </w:pPr>
            <w:r w:rsidRPr="00CF48A1">
              <w:rPr>
                <w:rFonts w:eastAsia="Times New Roman"/>
                <w:b/>
                <w:bCs/>
                <w:color w:val="000000"/>
                <w:sz w:val="28"/>
                <w:szCs w:val="28"/>
                <w:lang w:eastAsia="fr-FR"/>
              </w:rPr>
              <w:t>29.9%</w:t>
            </w:r>
          </w:p>
        </w:tc>
      </w:tr>
      <w:tr w:rsidR="00857A4B" w:rsidRPr="00CF48A1" w14:paraId="54AA92FF" w14:textId="77777777" w:rsidTr="00857A4B">
        <w:trPr>
          <w:trHeight w:val="343"/>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9A849FF" w14:textId="77777777" w:rsidR="00857A4B" w:rsidRPr="00CF48A1" w:rsidRDefault="00857A4B" w:rsidP="00857A4B">
            <w:pPr>
              <w:jc w:val="both"/>
              <w:rPr>
                <w:rFonts w:eastAsia="Times New Roman"/>
                <w:color w:val="000000"/>
                <w:lang w:eastAsia="fr-FR"/>
              </w:rPr>
            </w:pPr>
            <w:r w:rsidRPr="00CF48A1">
              <w:rPr>
                <w:rFonts w:eastAsia="Times New Roman"/>
                <w:color w:val="000000"/>
                <w:lang w:eastAsia="fr-FR"/>
              </w:rPr>
              <w:t>10 ans et plus</w:t>
            </w:r>
          </w:p>
        </w:tc>
        <w:tc>
          <w:tcPr>
            <w:tcW w:w="1717" w:type="dxa"/>
            <w:tcBorders>
              <w:top w:val="nil"/>
              <w:left w:val="nil"/>
              <w:bottom w:val="single" w:sz="4" w:space="0" w:color="auto"/>
              <w:right w:val="single" w:sz="4" w:space="0" w:color="auto"/>
            </w:tcBorders>
            <w:shd w:val="clear" w:color="auto" w:fill="auto"/>
            <w:vAlign w:val="center"/>
            <w:hideMark/>
          </w:tcPr>
          <w:p w14:paraId="382B82BF"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20</w:t>
            </w:r>
          </w:p>
        </w:tc>
        <w:tc>
          <w:tcPr>
            <w:tcW w:w="2780" w:type="dxa"/>
            <w:tcBorders>
              <w:top w:val="nil"/>
              <w:left w:val="nil"/>
              <w:bottom w:val="single" w:sz="4" w:space="0" w:color="auto"/>
              <w:right w:val="single" w:sz="4" w:space="0" w:color="auto"/>
            </w:tcBorders>
            <w:shd w:val="clear" w:color="auto" w:fill="auto"/>
            <w:vAlign w:val="center"/>
            <w:hideMark/>
          </w:tcPr>
          <w:p w14:paraId="78439B52" w14:textId="77777777" w:rsidR="00857A4B" w:rsidRPr="00CF48A1" w:rsidRDefault="00857A4B" w:rsidP="00857A4B">
            <w:pPr>
              <w:jc w:val="center"/>
              <w:rPr>
                <w:rFonts w:eastAsia="Times New Roman"/>
                <w:b/>
                <w:bCs/>
                <w:color w:val="000000"/>
                <w:sz w:val="28"/>
                <w:szCs w:val="28"/>
                <w:lang w:eastAsia="fr-FR"/>
              </w:rPr>
            </w:pPr>
            <w:r w:rsidRPr="00CF48A1">
              <w:rPr>
                <w:rFonts w:eastAsia="Times New Roman"/>
                <w:b/>
                <w:bCs/>
                <w:color w:val="000000"/>
                <w:sz w:val="28"/>
                <w:szCs w:val="28"/>
                <w:lang w:eastAsia="fr-FR"/>
              </w:rPr>
              <w:t>13.6%</w:t>
            </w:r>
          </w:p>
        </w:tc>
      </w:tr>
    </w:tbl>
    <w:p w14:paraId="198EC71D" w14:textId="59E17D6F" w:rsidR="00857A4B" w:rsidRPr="00CF48A1" w:rsidRDefault="00857A4B" w:rsidP="00F7494F">
      <w:pPr>
        <w:spacing w:line="360" w:lineRule="auto"/>
        <w:jc w:val="both"/>
      </w:pPr>
      <w:r w:rsidRPr="00CF48A1">
        <w:t xml:space="preserve"> </w:t>
      </w:r>
    </w:p>
    <w:p w14:paraId="34C8E72A" w14:textId="77777777" w:rsidR="00B11384" w:rsidRPr="00CF48A1" w:rsidRDefault="00B11384" w:rsidP="009A5599">
      <w:pPr>
        <w:jc w:val="both"/>
      </w:pPr>
    </w:p>
    <w:p w14:paraId="1A58FDD1" w14:textId="77777777" w:rsidR="00947AF2" w:rsidRPr="00CF48A1" w:rsidRDefault="00947AF2" w:rsidP="00F7494F">
      <w:pPr>
        <w:jc w:val="center"/>
      </w:pPr>
      <w:r w:rsidRPr="00CF48A1">
        <w:rPr>
          <w:noProof/>
          <w:lang w:eastAsia="fr-FR"/>
        </w:rPr>
        <w:drawing>
          <wp:inline distT="0" distB="0" distL="0" distR="0" wp14:anchorId="4143EE22" wp14:editId="66135335">
            <wp:extent cx="3060547" cy="2189192"/>
            <wp:effectExtent l="0" t="0" r="0" b="0"/>
            <wp:docPr id="18785759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547" cy="2189192"/>
                    </a:xfrm>
                    <a:prstGeom prst="rect">
                      <a:avLst/>
                    </a:prstGeom>
                    <a:noFill/>
                    <a:ln>
                      <a:noFill/>
                    </a:ln>
                  </pic:spPr>
                </pic:pic>
              </a:graphicData>
            </a:graphic>
          </wp:inline>
        </w:drawing>
      </w:r>
    </w:p>
    <w:p w14:paraId="630E004F" w14:textId="65D8CE4F" w:rsidR="00947AF2" w:rsidRPr="00CF48A1" w:rsidRDefault="00947AF2" w:rsidP="00F7494F">
      <w:pPr>
        <w:jc w:val="center"/>
      </w:pPr>
      <w:r w:rsidRPr="00CF48A1">
        <w:t>Figure</w:t>
      </w:r>
      <w:r w:rsidR="00F7494F" w:rsidRPr="00CF48A1">
        <w:t xml:space="preserve"> </w:t>
      </w:r>
      <w:proofErr w:type="gramStart"/>
      <w:r w:rsidR="00C54A68" w:rsidRPr="00CF48A1">
        <w:t>1</w:t>
      </w:r>
      <w:r w:rsidR="00F7494F" w:rsidRPr="00CF48A1">
        <w:t>:</w:t>
      </w:r>
      <w:proofErr w:type="gramEnd"/>
      <w:r w:rsidRPr="00CF48A1">
        <w:t xml:space="preserve"> Répartition </w:t>
      </w:r>
      <w:r w:rsidR="00F7494F" w:rsidRPr="00CF48A1">
        <w:t xml:space="preserve">des pharmaciens </w:t>
      </w:r>
      <w:r w:rsidRPr="00CF48A1">
        <w:t>selon le sexe</w:t>
      </w:r>
    </w:p>
    <w:p w14:paraId="3A5CA29D" w14:textId="77777777" w:rsidR="00ED3678" w:rsidRPr="00CF48A1" w:rsidRDefault="00ED3678" w:rsidP="00F7494F">
      <w:pPr>
        <w:spacing w:line="360" w:lineRule="auto"/>
        <w:jc w:val="both"/>
      </w:pPr>
    </w:p>
    <w:p w14:paraId="0ED73C14" w14:textId="6FB29F3A" w:rsidR="00B11384" w:rsidRPr="00CF48A1" w:rsidRDefault="00857A4B" w:rsidP="00F7494F">
      <w:pPr>
        <w:spacing w:line="360" w:lineRule="auto"/>
        <w:jc w:val="both"/>
      </w:pPr>
      <w:r w:rsidRPr="00CF48A1">
        <w:t>-</w:t>
      </w:r>
      <w:r w:rsidR="00B11384" w:rsidRPr="00CF48A1">
        <w:t>Dans le cadre de notre étude</w:t>
      </w:r>
      <w:r w:rsidR="00ED3678" w:rsidRPr="00CF48A1">
        <w:t xml:space="preserve"> </w:t>
      </w:r>
      <w:r w:rsidR="00B11384" w:rsidRPr="00CF48A1">
        <w:t>51.7%</w:t>
      </w:r>
      <w:r w:rsidR="00F7494F" w:rsidRPr="00CF48A1">
        <w:t xml:space="preserve"> des pharmaciens</w:t>
      </w:r>
      <w:r w:rsidR="00B11384" w:rsidRPr="00CF48A1">
        <w:t>, étaient de sexe féminin, tandis que 48.3% de sexe masculin</w:t>
      </w:r>
      <w:r w:rsidR="00E40EC4" w:rsidRPr="00CF48A1">
        <w:t xml:space="preserve"> avec un sexe ratio de </w:t>
      </w:r>
      <w:r w:rsidR="00763EDE" w:rsidRPr="00CF48A1">
        <w:t>0.93.</w:t>
      </w:r>
    </w:p>
    <w:p w14:paraId="5643D5A8" w14:textId="19704DEF" w:rsidR="00B11384" w:rsidRPr="00CF48A1" w:rsidRDefault="00857A4B" w:rsidP="00EA0B73">
      <w:pPr>
        <w:spacing w:line="360" w:lineRule="auto"/>
        <w:jc w:val="both"/>
      </w:pPr>
      <w:r w:rsidRPr="00CF48A1">
        <w:t xml:space="preserve">-Pour l’âge : </w:t>
      </w:r>
      <w:r w:rsidR="00E40EC4" w:rsidRPr="00CF48A1">
        <w:t>Sur les</w:t>
      </w:r>
      <w:r w:rsidR="00B11384" w:rsidRPr="00CF48A1">
        <w:t xml:space="preserve"> 147 participants</w:t>
      </w:r>
      <w:r w:rsidR="00E40EC4" w:rsidRPr="00CF48A1">
        <w:t>,</w:t>
      </w:r>
      <w:r w:rsidR="00B11384" w:rsidRPr="00CF48A1">
        <w:t xml:space="preserve"> l</w:t>
      </w:r>
      <w:r w:rsidR="000574BB" w:rsidRPr="00CF48A1">
        <w:t>’</w:t>
      </w:r>
      <w:r w:rsidR="00B11384" w:rsidRPr="00CF48A1">
        <w:t>âge varie entre 26 et 61 ans</w:t>
      </w:r>
      <w:r w:rsidR="00E40EC4" w:rsidRPr="00CF48A1">
        <w:t xml:space="preserve"> avec une</w:t>
      </w:r>
      <w:r w:rsidR="00B11384" w:rsidRPr="00CF48A1">
        <w:t xml:space="preserve"> moyenne d</w:t>
      </w:r>
      <w:r w:rsidR="000574BB" w:rsidRPr="00CF48A1">
        <w:t>’</w:t>
      </w:r>
      <w:r w:rsidR="00B11384" w:rsidRPr="00CF48A1">
        <w:t xml:space="preserve">âge de 32 ans. </w:t>
      </w:r>
    </w:p>
    <w:p w14:paraId="036866FA" w14:textId="77777777" w:rsidR="00E40EC4" w:rsidRPr="00CF48A1" w:rsidRDefault="00E40EC4" w:rsidP="0049525F">
      <w:pPr>
        <w:jc w:val="center"/>
      </w:pPr>
      <w:r w:rsidRPr="00CF48A1">
        <w:rPr>
          <w:noProof/>
          <w:lang w:eastAsia="fr-FR"/>
        </w:rPr>
        <w:lastRenderedPageBreak/>
        <w:drawing>
          <wp:inline distT="0" distB="0" distL="0" distR="0" wp14:anchorId="0E6C15B0" wp14:editId="1684E787">
            <wp:extent cx="3062724" cy="2171700"/>
            <wp:effectExtent l="0" t="0" r="0" b="0"/>
            <wp:docPr id="40950178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535" cy="2193547"/>
                    </a:xfrm>
                    <a:prstGeom prst="rect">
                      <a:avLst/>
                    </a:prstGeom>
                    <a:noFill/>
                    <a:ln>
                      <a:noFill/>
                    </a:ln>
                  </pic:spPr>
                </pic:pic>
              </a:graphicData>
            </a:graphic>
          </wp:inline>
        </w:drawing>
      </w:r>
    </w:p>
    <w:p w14:paraId="5743293C" w14:textId="37C552A6" w:rsidR="00E40EC4" w:rsidRPr="00CF48A1" w:rsidRDefault="00E40EC4" w:rsidP="0037774B">
      <w:pPr>
        <w:jc w:val="center"/>
        <w:rPr>
          <w:rFonts w:eastAsia="Times New Roman"/>
          <w:color w:val="000000"/>
          <w:lang w:eastAsia="fr-FR"/>
        </w:rPr>
      </w:pPr>
      <w:r w:rsidRPr="00CF48A1">
        <w:t>Figure</w:t>
      </w:r>
      <w:r w:rsidR="0049525F" w:rsidRPr="00CF48A1">
        <w:t xml:space="preserve"> </w:t>
      </w:r>
      <w:r w:rsidR="00152209" w:rsidRPr="00CF48A1">
        <w:t xml:space="preserve">2 </w:t>
      </w:r>
      <w:r w:rsidR="0049525F" w:rsidRPr="00CF48A1">
        <w:t>:</w:t>
      </w:r>
      <w:r w:rsidR="00857A4B" w:rsidRPr="00CF48A1">
        <w:t xml:space="preserve"> </w:t>
      </w:r>
      <w:r w:rsidRPr="00CF48A1">
        <w:rPr>
          <w:rFonts w:eastAsia="Times New Roman"/>
          <w:color w:val="000000"/>
          <w:lang w:eastAsia="fr-FR"/>
        </w:rPr>
        <w:t>Répartition</w:t>
      </w:r>
      <w:r w:rsidR="0049525F" w:rsidRPr="00CF48A1">
        <w:rPr>
          <w:rFonts w:eastAsia="Times New Roman"/>
          <w:color w:val="000000"/>
          <w:lang w:eastAsia="fr-FR"/>
        </w:rPr>
        <w:t xml:space="preserve"> des participants</w:t>
      </w:r>
      <w:r w:rsidRPr="00CF48A1">
        <w:rPr>
          <w:rFonts w:eastAsia="Times New Roman"/>
          <w:color w:val="000000"/>
          <w:lang w:eastAsia="fr-FR"/>
        </w:rPr>
        <w:t xml:space="preserve"> selon le territoire d’exercice</w:t>
      </w:r>
    </w:p>
    <w:p w14:paraId="4691C747" w14:textId="77777777" w:rsidR="0049525F" w:rsidRPr="00CF48A1" w:rsidRDefault="0049525F" w:rsidP="0049525F">
      <w:pPr>
        <w:spacing w:line="360" w:lineRule="auto"/>
        <w:jc w:val="both"/>
      </w:pPr>
    </w:p>
    <w:p w14:paraId="6196B885" w14:textId="046A8E63" w:rsidR="0049525F" w:rsidRPr="00CF48A1" w:rsidRDefault="00B11384" w:rsidP="0037774B">
      <w:pPr>
        <w:spacing w:line="360" w:lineRule="auto"/>
        <w:jc w:val="both"/>
      </w:pPr>
      <w:r w:rsidRPr="00CF48A1">
        <w:t>Dans notre étude près de 95 % des pharmaciens exercent au milieu urbain</w:t>
      </w:r>
      <w:r w:rsidR="0049525F" w:rsidRPr="00CF48A1">
        <w:t xml:space="preserve"> versus</w:t>
      </w:r>
      <w:r w:rsidRPr="00CF48A1">
        <w:t xml:space="preserve"> 5 % en milieu rural</w:t>
      </w:r>
      <w:r w:rsidR="00EA0B73" w:rsidRPr="00CF48A1">
        <w:t>.</w:t>
      </w:r>
    </w:p>
    <w:p w14:paraId="6E31BC53" w14:textId="77777777" w:rsidR="00ED3678" w:rsidRPr="00CF48A1" w:rsidRDefault="00ED3678" w:rsidP="0037774B">
      <w:pPr>
        <w:spacing w:line="360" w:lineRule="auto"/>
        <w:jc w:val="both"/>
      </w:pPr>
    </w:p>
    <w:p w14:paraId="5BADE48D" w14:textId="77777777" w:rsidR="00BA6E1F" w:rsidRPr="00CF48A1" w:rsidRDefault="00E70765" w:rsidP="0049525F">
      <w:pPr>
        <w:jc w:val="center"/>
      </w:pPr>
      <w:r w:rsidRPr="00CF48A1">
        <w:rPr>
          <w:noProof/>
          <w:lang w:eastAsia="fr-FR"/>
        </w:rPr>
        <w:drawing>
          <wp:inline distT="0" distB="0" distL="0" distR="0" wp14:anchorId="0EDFD3C9" wp14:editId="7AC2B81A">
            <wp:extent cx="4314825" cy="2502741"/>
            <wp:effectExtent l="0" t="0" r="0" b="0"/>
            <wp:docPr id="140450834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7398" cy="2510034"/>
                    </a:xfrm>
                    <a:prstGeom prst="rect">
                      <a:avLst/>
                    </a:prstGeom>
                    <a:noFill/>
                    <a:ln>
                      <a:noFill/>
                    </a:ln>
                  </pic:spPr>
                </pic:pic>
              </a:graphicData>
            </a:graphic>
          </wp:inline>
        </w:drawing>
      </w:r>
    </w:p>
    <w:p w14:paraId="3925DA87" w14:textId="37A38810" w:rsidR="0068192E" w:rsidRPr="00CF48A1" w:rsidRDefault="00E70765" w:rsidP="0049525F">
      <w:pPr>
        <w:jc w:val="center"/>
      </w:pPr>
      <w:r w:rsidRPr="00CF48A1">
        <w:t xml:space="preserve">Figure </w:t>
      </w:r>
      <w:r w:rsidR="00152209" w:rsidRPr="00CF48A1">
        <w:t>3</w:t>
      </w:r>
      <w:r w:rsidR="00A97DE8" w:rsidRPr="00CF48A1">
        <w:t xml:space="preserve"> </w:t>
      </w:r>
      <w:r w:rsidR="0049525F" w:rsidRPr="00CF48A1">
        <w:t xml:space="preserve">: </w:t>
      </w:r>
      <w:r w:rsidRPr="00CF48A1">
        <w:t>Répartition selon l’expérience professionnelle</w:t>
      </w:r>
    </w:p>
    <w:p w14:paraId="536839B5" w14:textId="77777777" w:rsidR="00E70765" w:rsidRPr="00CF48A1" w:rsidRDefault="00E70765" w:rsidP="009A5599">
      <w:pPr>
        <w:jc w:val="both"/>
      </w:pPr>
    </w:p>
    <w:p w14:paraId="5D5DADEE" w14:textId="695B7FCD" w:rsidR="0093199D" w:rsidRPr="00CF48A1" w:rsidRDefault="00216C54" w:rsidP="00EA0B73">
      <w:pPr>
        <w:spacing w:line="360" w:lineRule="auto"/>
        <w:jc w:val="both"/>
      </w:pPr>
      <w:r w:rsidRPr="00CF48A1">
        <w:t>On remarque que 56.5%</w:t>
      </w:r>
      <w:r w:rsidR="00EA0B73" w:rsidRPr="00CF48A1">
        <w:t xml:space="preserve"> </w:t>
      </w:r>
      <w:r w:rsidRPr="00CF48A1">
        <w:t xml:space="preserve">(n=83) </w:t>
      </w:r>
      <w:r w:rsidR="00ED3678" w:rsidRPr="00CF48A1">
        <w:t>l</w:t>
      </w:r>
      <w:r w:rsidRPr="00CF48A1">
        <w:t xml:space="preserve">es participants ont une expérience professionnelle </w:t>
      </w:r>
      <w:r w:rsidR="00152209" w:rsidRPr="00CF48A1">
        <w:t>inférieure</w:t>
      </w:r>
      <w:r w:rsidRPr="00CF48A1">
        <w:t xml:space="preserve"> à 5 ans</w:t>
      </w:r>
      <w:r w:rsidR="00EA0B73" w:rsidRPr="00CF48A1">
        <w:t xml:space="preserve"> tandis que </w:t>
      </w:r>
      <w:r w:rsidRPr="00CF48A1">
        <w:t>29.9%</w:t>
      </w:r>
      <w:r w:rsidR="00ED3678" w:rsidRPr="00CF48A1">
        <w:t xml:space="preserve"> </w:t>
      </w:r>
      <w:r w:rsidRPr="00CF48A1">
        <w:t>(n=44) entre 5-10 ans et 13.6</w:t>
      </w:r>
      <w:r w:rsidR="00ED3678" w:rsidRPr="00CF48A1">
        <w:t xml:space="preserve"> </w:t>
      </w:r>
      <w:r w:rsidRPr="00CF48A1">
        <w:t>(n=20) supérieure à 10 ans.</w:t>
      </w:r>
    </w:p>
    <w:p w14:paraId="7E094C7B" w14:textId="77777777" w:rsidR="00EA0B73" w:rsidRPr="00CF48A1" w:rsidRDefault="00EA0B73" w:rsidP="00EA0B73">
      <w:pPr>
        <w:spacing w:line="360" w:lineRule="auto"/>
        <w:jc w:val="both"/>
      </w:pPr>
    </w:p>
    <w:p w14:paraId="07FE55E8" w14:textId="77777777" w:rsidR="00152209" w:rsidRPr="00CF48A1" w:rsidRDefault="000574BB" w:rsidP="00152209">
      <w:pPr>
        <w:jc w:val="both"/>
        <w:rPr>
          <w:i/>
          <w:iCs/>
          <w:u w:val="single"/>
        </w:rPr>
      </w:pPr>
      <w:r w:rsidRPr="00CF48A1">
        <w:rPr>
          <w:i/>
          <w:iCs/>
          <w:u w:val="single"/>
        </w:rPr>
        <w:t>2</w:t>
      </w:r>
      <w:r w:rsidR="005655CB" w:rsidRPr="00CF48A1">
        <w:rPr>
          <w:i/>
          <w:iCs/>
          <w:u w:val="single"/>
        </w:rPr>
        <w:t>)</w:t>
      </w:r>
      <w:r w:rsidR="00152209" w:rsidRPr="00CF48A1">
        <w:rPr>
          <w:i/>
          <w:iCs/>
          <w:u w:val="single"/>
        </w:rPr>
        <w:t xml:space="preserve">La deuxième partie du questionnaire : Niveau de connaissance des pharmaciens d’officine concernant les inhibiteurs SGLT2 </w:t>
      </w:r>
    </w:p>
    <w:p w14:paraId="4D6A17E8" w14:textId="77777777" w:rsidR="00152209" w:rsidRPr="00CF48A1" w:rsidRDefault="00152209" w:rsidP="00152209">
      <w:pPr>
        <w:spacing w:line="360" w:lineRule="auto"/>
        <w:jc w:val="both"/>
      </w:pPr>
    </w:p>
    <w:p w14:paraId="3E7E4C21" w14:textId="77777777" w:rsidR="0093199D" w:rsidRPr="00CF48A1" w:rsidRDefault="0093199D" w:rsidP="00152209">
      <w:pPr>
        <w:spacing w:line="360" w:lineRule="auto"/>
        <w:jc w:val="both"/>
      </w:pPr>
    </w:p>
    <w:p w14:paraId="33C99AFB" w14:textId="77777777" w:rsidR="00EA0B73" w:rsidRPr="00CF48A1" w:rsidRDefault="00EA0B73" w:rsidP="00152209">
      <w:pPr>
        <w:spacing w:line="360" w:lineRule="auto"/>
        <w:jc w:val="both"/>
      </w:pPr>
    </w:p>
    <w:p w14:paraId="5BCD2D9B" w14:textId="77777777" w:rsidR="00EA0B73" w:rsidRPr="00CF48A1" w:rsidRDefault="00EA0B73" w:rsidP="00152209">
      <w:pPr>
        <w:spacing w:line="360" w:lineRule="auto"/>
        <w:jc w:val="both"/>
      </w:pPr>
    </w:p>
    <w:p w14:paraId="184FFE96" w14:textId="77777777" w:rsidR="0093199D" w:rsidRPr="00CF48A1" w:rsidRDefault="0093199D" w:rsidP="00152209">
      <w:pPr>
        <w:spacing w:line="360" w:lineRule="auto"/>
        <w:jc w:val="both"/>
      </w:pPr>
    </w:p>
    <w:p w14:paraId="22AAADBB" w14:textId="2FE728A2" w:rsidR="00857A4B" w:rsidRPr="00CF48A1" w:rsidRDefault="00152209" w:rsidP="00152209">
      <w:pPr>
        <w:jc w:val="center"/>
      </w:pPr>
      <w:r w:rsidRPr="00CF48A1">
        <w:lastRenderedPageBreak/>
        <w:t>Tableau 2 : Répartition des participants selon leur niveau</w:t>
      </w:r>
      <w:r w:rsidR="000574BB" w:rsidRPr="00CF48A1">
        <w:t xml:space="preserve"> de connaissance concernant les inhibiteurs SGLT2 </w:t>
      </w:r>
    </w:p>
    <w:tbl>
      <w:tblPr>
        <w:tblW w:w="10060" w:type="dxa"/>
        <w:tblInd w:w="75" w:type="dxa"/>
        <w:tblCellMar>
          <w:left w:w="70" w:type="dxa"/>
          <w:right w:w="70" w:type="dxa"/>
        </w:tblCellMar>
        <w:tblLook w:val="04A0" w:firstRow="1" w:lastRow="0" w:firstColumn="1" w:lastColumn="0" w:noHBand="0" w:noVBand="1"/>
      </w:tblPr>
      <w:tblGrid>
        <w:gridCol w:w="3681"/>
        <w:gridCol w:w="3685"/>
        <w:gridCol w:w="1267"/>
        <w:gridCol w:w="1427"/>
      </w:tblGrid>
      <w:tr w:rsidR="00857A4B" w:rsidRPr="00CF48A1" w14:paraId="4EA061BD" w14:textId="77777777" w:rsidTr="0093199D">
        <w:trPr>
          <w:trHeight w:val="617"/>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F5D9" w14:textId="77777777" w:rsidR="00857A4B" w:rsidRPr="00CF48A1" w:rsidRDefault="00857A4B" w:rsidP="00857A4B">
            <w:pPr>
              <w:jc w:val="both"/>
              <w:rPr>
                <w:rFonts w:eastAsia="Times New Roman"/>
                <w:color w:val="000000"/>
                <w:lang w:eastAsia="fr-FR"/>
              </w:rPr>
            </w:pPr>
            <w:r w:rsidRPr="00CF48A1">
              <w:rPr>
                <w:rFonts w:eastAsia="Times New Roman"/>
                <w:color w:val="000000"/>
                <w:lang w:eastAsia="fr-FR"/>
              </w:rPr>
              <w:t xml:space="preserve">La question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91F6284"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La vraie réponse</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413563D"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Nombre des réponses vraies</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24E05EC5"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Pourcentages des réponses vraies</w:t>
            </w:r>
          </w:p>
        </w:tc>
      </w:tr>
      <w:tr w:rsidR="00857A4B" w:rsidRPr="00CF48A1" w14:paraId="6EC1D8B5" w14:textId="77777777" w:rsidTr="0093199D">
        <w:trPr>
          <w:trHeight w:val="61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9D27602" w14:textId="77777777" w:rsidR="00857A4B" w:rsidRPr="00CF48A1" w:rsidRDefault="00857A4B" w:rsidP="00857A4B">
            <w:pPr>
              <w:jc w:val="both"/>
              <w:rPr>
                <w:rFonts w:eastAsia="Times New Roman"/>
                <w:b/>
                <w:bCs/>
                <w:color w:val="000000"/>
                <w:lang w:eastAsia="fr-FR"/>
              </w:rPr>
            </w:pPr>
            <w:r w:rsidRPr="00CF48A1">
              <w:rPr>
                <w:rFonts w:eastAsia="Times New Roman"/>
                <w:b/>
                <w:bCs/>
                <w:color w:val="000000"/>
                <w:lang w:eastAsia="fr-FR"/>
              </w:rPr>
              <w:t xml:space="preserve">Quel est l'effet des inhibiteurs du SGLT2 sur la pression artérielle ?  </w:t>
            </w:r>
          </w:p>
        </w:tc>
        <w:tc>
          <w:tcPr>
            <w:tcW w:w="3685" w:type="dxa"/>
            <w:tcBorders>
              <w:top w:val="nil"/>
              <w:left w:val="nil"/>
              <w:bottom w:val="single" w:sz="4" w:space="0" w:color="auto"/>
              <w:right w:val="single" w:sz="4" w:space="0" w:color="auto"/>
            </w:tcBorders>
            <w:shd w:val="clear" w:color="auto" w:fill="auto"/>
            <w:vAlign w:val="center"/>
            <w:hideMark/>
          </w:tcPr>
          <w:p w14:paraId="1A062F94"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Les inhibiteurs SGLT2 diminuent la pression artérielle</w:t>
            </w:r>
          </w:p>
        </w:tc>
        <w:tc>
          <w:tcPr>
            <w:tcW w:w="1267" w:type="dxa"/>
            <w:tcBorders>
              <w:top w:val="nil"/>
              <w:left w:val="nil"/>
              <w:bottom w:val="single" w:sz="4" w:space="0" w:color="auto"/>
              <w:right w:val="single" w:sz="4" w:space="0" w:color="auto"/>
            </w:tcBorders>
            <w:shd w:val="clear" w:color="auto" w:fill="auto"/>
            <w:vAlign w:val="center"/>
            <w:hideMark/>
          </w:tcPr>
          <w:p w14:paraId="7A5BF630"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50</w:t>
            </w:r>
          </w:p>
        </w:tc>
        <w:tc>
          <w:tcPr>
            <w:tcW w:w="1427" w:type="dxa"/>
            <w:tcBorders>
              <w:top w:val="nil"/>
              <w:left w:val="nil"/>
              <w:bottom w:val="single" w:sz="4" w:space="0" w:color="auto"/>
              <w:right w:val="single" w:sz="4" w:space="0" w:color="auto"/>
            </w:tcBorders>
            <w:shd w:val="clear" w:color="auto" w:fill="auto"/>
            <w:vAlign w:val="center"/>
            <w:hideMark/>
          </w:tcPr>
          <w:p w14:paraId="35007CD5" w14:textId="77777777" w:rsidR="00857A4B" w:rsidRPr="00CF48A1" w:rsidRDefault="00857A4B" w:rsidP="00857A4B">
            <w:pPr>
              <w:jc w:val="center"/>
              <w:rPr>
                <w:rFonts w:eastAsia="Times New Roman"/>
                <w:b/>
                <w:bCs/>
                <w:color w:val="000000"/>
                <w:lang w:eastAsia="fr-FR"/>
              </w:rPr>
            </w:pPr>
            <w:r w:rsidRPr="00CF48A1">
              <w:rPr>
                <w:rFonts w:eastAsia="Times New Roman"/>
                <w:b/>
                <w:bCs/>
                <w:color w:val="000000"/>
                <w:lang w:eastAsia="fr-FR"/>
              </w:rPr>
              <w:t>34%</w:t>
            </w:r>
          </w:p>
        </w:tc>
      </w:tr>
      <w:tr w:rsidR="00857A4B" w:rsidRPr="00CF48A1" w14:paraId="770A88E5" w14:textId="77777777" w:rsidTr="0093199D">
        <w:trPr>
          <w:trHeight w:val="61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DA39616" w14:textId="77777777" w:rsidR="00857A4B" w:rsidRPr="00CF48A1" w:rsidRDefault="00857A4B" w:rsidP="00857A4B">
            <w:pPr>
              <w:jc w:val="both"/>
              <w:rPr>
                <w:rFonts w:eastAsia="Times New Roman"/>
                <w:b/>
                <w:bCs/>
                <w:color w:val="000000"/>
                <w:lang w:eastAsia="fr-FR"/>
              </w:rPr>
            </w:pPr>
            <w:r w:rsidRPr="00CF48A1">
              <w:rPr>
                <w:rFonts w:eastAsia="Times New Roman"/>
                <w:b/>
                <w:bCs/>
                <w:color w:val="000000"/>
                <w:lang w:eastAsia="fr-FR"/>
              </w:rPr>
              <w:t>Quel est le meilleur conseil que vous pouvez donner aux patients prenant ces molécules ?</w:t>
            </w:r>
          </w:p>
        </w:tc>
        <w:tc>
          <w:tcPr>
            <w:tcW w:w="3685" w:type="dxa"/>
            <w:tcBorders>
              <w:top w:val="nil"/>
              <w:left w:val="nil"/>
              <w:bottom w:val="single" w:sz="4" w:space="0" w:color="auto"/>
              <w:right w:val="single" w:sz="4" w:space="0" w:color="auto"/>
            </w:tcBorders>
            <w:shd w:val="clear" w:color="auto" w:fill="auto"/>
            <w:vAlign w:val="center"/>
            <w:hideMark/>
          </w:tcPr>
          <w:p w14:paraId="27C18710"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L’hygiène intime et éducation de couple pour réduire le risque des infections uro-génitales</w:t>
            </w:r>
          </w:p>
        </w:tc>
        <w:tc>
          <w:tcPr>
            <w:tcW w:w="1267" w:type="dxa"/>
            <w:tcBorders>
              <w:top w:val="nil"/>
              <w:left w:val="nil"/>
              <w:bottom w:val="single" w:sz="4" w:space="0" w:color="auto"/>
              <w:right w:val="single" w:sz="4" w:space="0" w:color="auto"/>
            </w:tcBorders>
            <w:shd w:val="clear" w:color="auto" w:fill="auto"/>
            <w:vAlign w:val="center"/>
            <w:hideMark/>
          </w:tcPr>
          <w:p w14:paraId="466725B6"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48</w:t>
            </w:r>
          </w:p>
        </w:tc>
        <w:tc>
          <w:tcPr>
            <w:tcW w:w="1427" w:type="dxa"/>
            <w:tcBorders>
              <w:top w:val="nil"/>
              <w:left w:val="nil"/>
              <w:bottom w:val="single" w:sz="4" w:space="0" w:color="auto"/>
              <w:right w:val="single" w:sz="4" w:space="0" w:color="auto"/>
            </w:tcBorders>
            <w:shd w:val="clear" w:color="auto" w:fill="auto"/>
            <w:vAlign w:val="center"/>
            <w:hideMark/>
          </w:tcPr>
          <w:p w14:paraId="7E1E9A18" w14:textId="77777777" w:rsidR="00857A4B" w:rsidRPr="00CF48A1" w:rsidRDefault="00857A4B" w:rsidP="00857A4B">
            <w:pPr>
              <w:jc w:val="center"/>
              <w:rPr>
                <w:rFonts w:eastAsia="Times New Roman"/>
                <w:b/>
                <w:bCs/>
                <w:color w:val="000000"/>
                <w:lang w:eastAsia="fr-FR"/>
              </w:rPr>
            </w:pPr>
            <w:r w:rsidRPr="00CF48A1">
              <w:rPr>
                <w:rFonts w:eastAsia="Times New Roman"/>
                <w:b/>
                <w:bCs/>
                <w:color w:val="000000"/>
                <w:lang w:eastAsia="fr-FR"/>
              </w:rPr>
              <w:t>32.7%</w:t>
            </w:r>
          </w:p>
        </w:tc>
      </w:tr>
      <w:tr w:rsidR="00857A4B" w:rsidRPr="00CF48A1" w14:paraId="090F2339" w14:textId="77777777" w:rsidTr="0093199D">
        <w:trPr>
          <w:trHeight w:val="61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A32B4E5" w14:textId="1C577846" w:rsidR="00857A4B" w:rsidRPr="00CF48A1" w:rsidRDefault="00857A4B" w:rsidP="00857A4B">
            <w:pPr>
              <w:jc w:val="both"/>
              <w:rPr>
                <w:rFonts w:eastAsia="Times New Roman"/>
                <w:b/>
                <w:bCs/>
                <w:color w:val="000000"/>
                <w:lang w:eastAsia="fr-FR"/>
              </w:rPr>
            </w:pPr>
            <w:r w:rsidRPr="00CF48A1">
              <w:rPr>
                <w:rFonts w:eastAsia="Times New Roman"/>
                <w:b/>
                <w:bCs/>
                <w:color w:val="000000"/>
                <w:lang w:eastAsia="fr-FR"/>
              </w:rPr>
              <w:t xml:space="preserve">Pour quelles catégories des patients les </w:t>
            </w:r>
            <w:proofErr w:type="spellStart"/>
            <w:r w:rsidRPr="00CF48A1">
              <w:rPr>
                <w:rFonts w:eastAsia="Times New Roman"/>
                <w:b/>
                <w:bCs/>
                <w:color w:val="000000"/>
                <w:lang w:eastAsia="fr-FR"/>
              </w:rPr>
              <w:t>gliflozines</w:t>
            </w:r>
            <w:proofErr w:type="spellEnd"/>
            <w:r w:rsidRPr="00CF48A1">
              <w:rPr>
                <w:rFonts w:eastAsia="Times New Roman"/>
                <w:b/>
                <w:bCs/>
                <w:color w:val="000000"/>
                <w:lang w:eastAsia="fr-FR"/>
              </w:rPr>
              <w:t xml:space="preserve"> est-il le plus souvent</w:t>
            </w:r>
            <w:r w:rsidR="00152209" w:rsidRPr="00CF48A1">
              <w:rPr>
                <w:rFonts w:eastAsia="Times New Roman"/>
                <w:b/>
                <w:bCs/>
                <w:color w:val="000000"/>
                <w:lang w:eastAsia="fr-FR"/>
              </w:rPr>
              <w:t xml:space="preserve"> </w:t>
            </w:r>
            <w:r w:rsidRPr="00CF48A1">
              <w:rPr>
                <w:rFonts w:eastAsia="Times New Roman"/>
                <w:b/>
                <w:bCs/>
                <w:color w:val="000000"/>
                <w:lang w:eastAsia="fr-FR"/>
              </w:rPr>
              <w:t>prescrit ?</w:t>
            </w:r>
          </w:p>
        </w:tc>
        <w:tc>
          <w:tcPr>
            <w:tcW w:w="3685" w:type="dxa"/>
            <w:tcBorders>
              <w:top w:val="nil"/>
              <w:left w:val="nil"/>
              <w:bottom w:val="single" w:sz="4" w:space="0" w:color="auto"/>
              <w:right w:val="single" w:sz="4" w:space="0" w:color="auto"/>
            </w:tcBorders>
            <w:shd w:val="clear" w:color="auto" w:fill="auto"/>
            <w:vAlign w:val="center"/>
            <w:hideMark/>
          </w:tcPr>
          <w:p w14:paraId="3652B133"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Les patients diabétiques avec des facteurs de risque cardiovasculaire ou une néphropathie diabétique</w:t>
            </w:r>
          </w:p>
        </w:tc>
        <w:tc>
          <w:tcPr>
            <w:tcW w:w="1267" w:type="dxa"/>
            <w:tcBorders>
              <w:top w:val="nil"/>
              <w:left w:val="nil"/>
              <w:bottom w:val="single" w:sz="4" w:space="0" w:color="auto"/>
              <w:right w:val="single" w:sz="4" w:space="0" w:color="auto"/>
            </w:tcBorders>
            <w:shd w:val="clear" w:color="auto" w:fill="auto"/>
            <w:vAlign w:val="center"/>
            <w:hideMark/>
          </w:tcPr>
          <w:p w14:paraId="1D64BC9C"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52</w:t>
            </w:r>
          </w:p>
        </w:tc>
        <w:tc>
          <w:tcPr>
            <w:tcW w:w="1427" w:type="dxa"/>
            <w:tcBorders>
              <w:top w:val="nil"/>
              <w:left w:val="nil"/>
              <w:bottom w:val="single" w:sz="4" w:space="0" w:color="auto"/>
              <w:right w:val="single" w:sz="4" w:space="0" w:color="auto"/>
            </w:tcBorders>
            <w:shd w:val="clear" w:color="auto" w:fill="auto"/>
            <w:vAlign w:val="center"/>
            <w:hideMark/>
          </w:tcPr>
          <w:p w14:paraId="3CA4604C" w14:textId="77777777" w:rsidR="00857A4B" w:rsidRPr="00CF48A1" w:rsidRDefault="00857A4B" w:rsidP="00857A4B">
            <w:pPr>
              <w:jc w:val="center"/>
              <w:rPr>
                <w:rFonts w:eastAsia="Times New Roman"/>
                <w:b/>
                <w:bCs/>
                <w:color w:val="000000"/>
                <w:lang w:eastAsia="fr-FR"/>
              </w:rPr>
            </w:pPr>
            <w:r w:rsidRPr="00CF48A1">
              <w:rPr>
                <w:rFonts w:eastAsia="Times New Roman"/>
                <w:b/>
                <w:bCs/>
                <w:color w:val="000000"/>
                <w:lang w:eastAsia="fr-FR"/>
              </w:rPr>
              <w:t>35.4</w:t>
            </w:r>
          </w:p>
        </w:tc>
      </w:tr>
      <w:tr w:rsidR="00857A4B" w:rsidRPr="00CF48A1" w14:paraId="57E9AC36" w14:textId="77777777" w:rsidTr="0093199D">
        <w:trPr>
          <w:trHeight w:val="879"/>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4C6EC7E" w14:textId="77777777" w:rsidR="00857A4B" w:rsidRPr="00CF48A1" w:rsidRDefault="00857A4B" w:rsidP="00857A4B">
            <w:pPr>
              <w:jc w:val="both"/>
              <w:rPr>
                <w:rFonts w:eastAsia="Times New Roman"/>
                <w:b/>
                <w:bCs/>
                <w:color w:val="000000"/>
                <w:lang w:eastAsia="fr-FR"/>
              </w:rPr>
            </w:pPr>
            <w:r w:rsidRPr="00CF48A1">
              <w:rPr>
                <w:rFonts w:eastAsia="Times New Roman"/>
                <w:b/>
                <w:bCs/>
                <w:color w:val="000000"/>
                <w:lang w:eastAsia="fr-FR"/>
              </w:rPr>
              <w:t>Pouvez-vous décrire le mécanisme d'action des inhibiteurs du SGLT2 ?</w:t>
            </w:r>
          </w:p>
        </w:tc>
        <w:tc>
          <w:tcPr>
            <w:tcW w:w="3685" w:type="dxa"/>
            <w:tcBorders>
              <w:top w:val="nil"/>
              <w:left w:val="nil"/>
              <w:bottom w:val="single" w:sz="4" w:space="0" w:color="auto"/>
              <w:right w:val="single" w:sz="4" w:space="0" w:color="auto"/>
            </w:tcBorders>
            <w:shd w:val="clear" w:color="auto" w:fill="auto"/>
            <w:vAlign w:val="center"/>
            <w:hideMark/>
          </w:tcPr>
          <w:p w14:paraId="7E6B6CBF"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Les inhibiteurs SGLT2 Induisent une élimination de glucose dans les urines « glycosurie »</w:t>
            </w:r>
          </w:p>
        </w:tc>
        <w:tc>
          <w:tcPr>
            <w:tcW w:w="1267" w:type="dxa"/>
            <w:tcBorders>
              <w:top w:val="nil"/>
              <w:left w:val="nil"/>
              <w:bottom w:val="single" w:sz="4" w:space="0" w:color="auto"/>
              <w:right w:val="single" w:sz="4" w:space="0" w:color="auto"/>
            </w:tcBorders>
            <w:shd w:val="clear" w:color="auto" w:fill="auto"/>
            <w:vAlign w:val="center"/>
            <w:hideMark/>
          </w:tcPr>
          <w:p w14:paraId="7A37C675"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62</w:t>
            </w:r>
          </w:p>
        </w:tc>
        <w:tc>
          <w:tcPr>
            <w:tcW w:w="1427" w:type="dxa"/>
            <w:tcBorders>
              <w:top w:val="nil"/>
              <w:left w:val="nil"/>
              <w:bottom w:val="single" w:sz="4" w:space="0" w:color="auto"/>
              <w:right w:val="single" w:sz="4" w:space="0" w:color="auto"/>
            </w:tcBorders>
            <w:shd w:val="clear" w:color="auto" w:fill="auto"/>
            <w:vAlign w:val="center"/>
            <w:hideMark/>
          </w:tcPr>
          <w:p w14:paraId="48C56612" w14:textId="77777777" w:rsidR="00857A4B" w:rsidRPr="00CF48A1" w:rsidRDefault="00857A4B" w:rsidP="00857A4B">
            <w:pPr>
              <w:jc w:val="center"/>
              <w:rPr>
                <w:rFonts w:eastAsia="Times New Roman"/>
                <w:b/>
                <w:bCs/>
                <w:color w:val="000000"/>
                <w:lang w:eastAsia="fr-FR"/>
              </w:rPr>
            </w:pPr>
            <w:r w:rsidRPr="00CF48A1">
              <w:rPr>
                <w:rFonts w:eastAsia="Times New Roman"/>
                <w:b/>
                <w:bCs/>
                <w:color w:val="000000"/>
                <w:lang w:eastAsia="fr-FR"/>
              </w:rPr>
              <w:t>42.2%</w:t>
            </w:r>
          </w:p>
        </w:tc>
      </w:tr>
      <w:tr w:rsidR="00857A4B" w:rsidRPr="00CF48A1" w14:paraId="2C051048" w14:textId="77777777" w:rsidTr="0093199D">
        <w:trPr>
          <w:trHeight w:val="61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3A806E22" w14:textId="77777777" w:rsidR="00857A4B" w:rsidRPr="00CF48A1" w:rsidRDefault="00857A4B" w:rsidP="00857A4B">
            <w:pPr>
              <w:jc w:val="both"/>
              <w:rPr>
                <w:rFonts w:eastAsia="Times New Roman"/>
                <w:b/>
                <w:bCs/>
                <w:color w:val="000000"/>
                <w:lang w:eastAsia="fr-FR"/>
              </w:rPr>
            </w:pPr>
            <w:r w:rsidRPr="00CF48A1">
              <w:rPr>
                <w:rFonts w:eastAsia="Times New Roman"/>
                <w:b/>
                <w:bCs/>
                <w:color w:val="000000"/>
                <w:lang w:eastAsia="fr-FR"/>
              </w:rPr>
              <w:t>Quel est l'effet indésirables le plus fréquent de cette classe thérapeutique ?</w:t>
            </w:r>
          </w:p>
        </w:tc>
        <w:tc>
          <w:tcPr>
            <w:tcW w:w="3685" w:type="dxa"/>
            <w:tcBorders>
              <w:top w:val="nil"/>
              <w:left w:val="nil"/>
              <w:bottom w:val="single" w:sz="4" w:space="0" w:color="auto"/>
              <w:right w:val="single" w:sz="4" w:space="0" w:color="auto"/>
            </w:tcBorders>
            <w:shd w:val="clear" w:color="auto" w:fill="auto"/>
            <w:vAlign w:val="center"/>
            <w:hideMark/>
          </w:tcPr>
          <w:p w14:paraId="6C0DD202"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Les infections urogénitales</w:t>
            </w:r>
          </w:p>
        </w:tc>
        <w:tc>
          <w:tcPr>
            <w:tcW w:w="1267" w:type="dxa"/>
            <w:tcBorders>
              <w:top w:val="nil"/>
              <w:left w:val="nil"/>
              <w:bottom w:val="single" w:sz="4" w:space="0" w:color="auto"/>
              <w:right w:val="single" w:sz="4" w:space="0" w:color="auto"/>
            </w:tcBorders>
            <w:shd w:val="clear" w:color="auto" w:fill="auto"/>
            <w:vAlign w:val="center"/>
            <w:hideMark/>
          </w:tcPr>
          <w:p w14:paraId="693E97C0"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69</w:t>
            </w:r>
          </w:p>
        </w:tc>
        <w:tc>
          <w:tcPr>
            <w:tcW w:w="1427" w:type="dxa"/>
            <w:tcBorders>
              <w:top w:val="nil"/>
              <w:left w:val="nil"/>
              <w:bottom w:val="single" w:sz="4" w:space="0" w:color="auto"/>
              <w:right w:val="single" w:sz="4" w:space="0" w:color="auto"/>
            </w:tcBorders>
            <w:shd w:val="clear" w:color="auto" w:fill="auto"/>
            <w:vAlign w:val="center"/>
            <w:hideMark/>
          </w:tcPr>
          <w:p w14:paraId="215098DD" w14:textId="77777777" w:rsidR="00857A4B" w:rsidRPr="00CF48A1" w:rsidRDefault="00857A4B" w:rsidP="00857A4B">
            <w:pPr>
              <w:jc w:val="center"/>
              <w:rPr>
                <w:rFonts w:eastAsia="Times New Roman"/>
                <w:b/>
                <w:bCs/>
                <w:color w:val="000000"/>
                <w:lang w:eastAsia="fr-FR"/>
              </w:rPr>
            </w:pPr>
            <w:r w:rsidRPr="00CF48A1">
              <w:rPr>
                <w:rFonts w:eastAsia="Times New Roman"/>
                <w:b/>
                <w:bCs/>
                <w:color w:val="000000"/>
                <w:lang w:eastAsia="fr-FR"/>
              </w:rPr>
              <w:t>46.9%</w:t>
            </w:r>
          </w:p>
        </w:tc>
      </w:tr>
      <w:tr w:rsidR="00857A4B" w:rsidRPr="00CF48A1" w14:paraId="117BEF8C" w14:textId="77777777" w:rsidTr="0093199D">
        <w:trPr>
          <w:trHeight w:val="61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94E6442" w14:textId="77777777" w:rsidR="00857A4B" w:rsidRPr="00CF48A1" w:rsidRDefault="00857A4B" w:rsidP="00857A4B">
            <w:pPr>
              <w:jc w:val="both"/>
              <w:rPr>
                <w:rFonts w:eastAsia="Times New Roman"/>
                <w:b/>
                <w:bCs/>
                <w:color w:val="000000"/>
                <w:lang w:eastAsia="fr-FR"/>
              </w:rPr>
            </w:pPr>
            <w:r w:rsidRPr="00CF48A1">
              <w:rPr>
                <w:rFonts w:eastAsia="Times New Roman"/>
                <w:b/>
                <w:bCs/>
                <w:color w:val="000000"/>
                <w:lang w:eastAsia="fr-FR"/>
              </w:rPr>
              <w:t xml:space="preserve">Quel est l'effet de </w:t>
            </w:r>
            <w:proofErr w:type="spellStart"/>
            <w:r w:rsidRPr="00CF48A1">
              <w:rPr>
                <w:rFonts w:eastAsia="Times New Roman"/>
                <w:b/>
                <w:bCs/>
                <w:color w:val="000000"/>
                <w:lang w:eastAsia="fr-FR"/>
              </w:rPr>
              <w:t>gliflozines</w:t>
            </w:r>
            <w:proofErr w:type="spellEnd"/>
            <w:r w:rsidRPr="00CF48A1">
              <w:rPr>
                <w:rFonts w:eastAsia="Times New Roman"/>
                <w:b/>
                <w:bCs/>
                <w:color w:val="000000"/>
                <w:lang w:eastAsia="fr-FR"/>
              </w:rPr>
              <w:t xml:space="preserve"> sur le poids corporel ?</w:t>
            </w:r>
          </w:p>
        </w:tc>
        <w:tc>
          <w:tcPr>
            <w:tcW w:w="3685" w:type="dxa"/>
            <w:tcBorders>
              <w:top w:val="nil"/>
              <w:left w:val="nil"/>
              <w:bottom w:val="single" w:sz="4" w:space="0" w:color="auto"/>
              <w:right w:val="single" w:sz="4" w:space="0" w:color="auto"/>
            </w:tcBorders>
            <w:shd w:val="clear" w:color="auto" w:fill="auto"/>
            <w:vAlign w:val="center"/>
            <w:hideMark/>
          </w:tcPr>
          <w:p w14:paraId="2F692A78"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Les inhibiteurs SGLT2 diminuent le poids (2-5kg)</w:t>
            </w:r>
          </w:p>
        </w:tc>
        <w:tc>
          <w:tcPr>
            <w:tcW w:w="1267" w:type="dxa"/>
            <w:tcBorders>
              <w:top w:val="nil"/>
              <w:left w:val="nil"/>
              <w:bottom w:val="single" w:sz="4" w:space="0" w:color="auto"/>
              <w:right w:val="single" w:sz="4" w:space="0" w:color="auto"/>
            </w:tcBorders>
            <w:shd w:val="clear" w:color="auto" w:fill="auto"/>
            <w:vAlign w:val="center"/>
            <w:hideMark/>
          </w:tcPr>
          <w:p w14:paraId="708F060C"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73</w:t>
            </w:r>
          </w:p>
        </w:tc>
        <w:tc>
          <w:tcPr>
            <w:tcW w:w="1427" w:type="dxa"/>
            <w:tcBorders>
              <w:top w:val="nil"/>
              <w:left w:val="nil"/>
              <w:bottom w:val="single" w:sz="4" w:space="0" w:color="auto"/>
              <w:right w:val="single" w:sz="4" w:space="0" w:color="auto"/>
            </w:tcBorders>
            <w:shd w:val="clear" w:color="auto" w:fill="auto"/>
            <w:vAlign w:val="center"/>
            <w:hideMark/>
          </w:tcPr>
          <w:p w14:paraId="39E7ED00" w14:textId="77777777" w:rsidR="00857A4B" w:rsidRPr="00CF48A1" w:rsidRDefault="00857A4B" w:rsidP="00857A4B">
            <w:pPr>
              <w:jc w:val="center"/>
              <w:rPr>
                <w:rFonts w:eastAsia="Times New Roman"/>
                <w:b/>
                <w:bCs/>
                <w:color w:val="000000"/>
                <w:lang w:eastAsia="fr-FR"/>
              </w:rPr>
            </w:pPr>
            <w:r w:rsidRPr="00CF48A1">
              <w:rPr>
                <w:rFonts w:eastAsia="Times New Roman"/>
                <w:b/>
                <w:bCs/>
                <w:color w:val="000000"/>
                <w:lang w:eastAsia="fr-FR"/>
              </w:rPr>
              <w:t>49.7%</w:t>
            </w:r>
          </w:p>
        </w:tc>
      </w:tr>
      <w:tr w:rsidR="00857A4B" w:rsidRPr="00CF48A1" w14:paraId="47002A2A" w14:textId="77777777" w:rsidTr="0093199D">
        <w:trPr>
          <w:trHeight w:val="61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AA17977" w14:textId="77777777" w:rsidR="00857A4B" w:rsidRPr="00CF48A1" w:rsidRDefault="00857A4B" w:rsidP="00857A4B">
            <w:pPr>
              <w:jc w:val="both"/>
              <w:rPr>
                <w:rFonts w:eastAsia="Times New Roman"/>
                <w:b/>
                <w:bCs/>
                <w:color w:val="000000"/>
                <w:lang w:eastAsia="fr-FR"/>
              </w:rPr>
            </w:pPr>
            <w:r w:rsidRPr="00CF48A1">
              <w:rPr>
                <w:rFonts w:eastAsia="Times New Roman"/>
                <w:b/>
                <w:bCs/>
                <w:color w:val="000000"/>
                <w:lang w:eastAsia="fr-FR"/>
              </w:rPr>
              <w:t>Quelle est la principale contre-indication des inhibiteurs SGLT2 ?</w:t>
            </w:r>
          </w:p>
        </w:tc>
        <w:tc>
          <w:tcPr>
            <w:tcW w:w="3685" w:type="dxa"/>
            <w:tcBorders>
              <w:top w:val="nil"/>
              <w:left w:val="nil"/>
              <w:bottom w:val="single" w:sz="4" w:space="0" w:color="auto"/>
              <w:right w:val="single" w:sz="4" w:space="0" w:color="auto"/>
            </w:tcBorders>
            <w:shd w:val="clear" w:color="auto" w:fill="auto"/>
            <w:vAlign w:val="center"/>
            <w:hideMark/>
          </w:tcPr>
          <w:p w14:paraId="7FBDBF7D"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L’insuffisance rénale aigue</w:t>
            </w:r>
          </w:p>
        </w:tc>
        <w:tc>
          <w:tcPr>
            <w:tcW w:w="1267" w:type="dxa"/>
            <w:tcBorders>
              <w:top w:val="nil"/>
              <w:left w:val="nil"/>
              <w:bottom w:val="single" w:sz="4" w:space="0" w:color="auto"/>
              <w:right w:val="single" w:sz="4" w:space="0" w:color="auto"/>
            </w:tcBorders>
            <w:shd w:val="clear" w:color="auto" w:fill="auto"/>
            <w:vAlign w:val="center"/>
            <w:hideMark/>
          </w:tcPr>
          <w:p w14:paraId="2D6828E1"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99</w:t>
            </w:r>
          </w:p>
        </w:tc>
        <w:tc>
          <w:tcPr>
            <w:tcW w:w="1427" w:type="dxa"/>
            <w:tcBorders>
              <w:top w:val="nil"/>
              <w:left w:val="nil"/>
              <w:bottom w:val="single" w:sz="4" w:space="0" w:color="auto"/>
              <w:right w:val="single" w:sz="4" w:space="0" w:color="auto"/>
            </w:tcBorders>
            <w:shd w:val="clear" w:color="auto" w:fill="auto"/>
            <w:vAlign w:val="center"/>
            <w:hideMark/>
          </w:tcPr>
          <w:p w14:paraId="0FF50CFE" w14:textId="77777777" w:rsidR="00857A4B" w:rsidRPr="00CF48A1" w:rsidRDefault="00857A4B" w:rsidP="00857A4B">
            <w:pPr>
              <w:jc w:val="center"/>
              <w:rPr>
                <w:rFonts w:eastAsia="Times New Roman"/>
                <w:b/>
                <w:bCs/>
                <w:color w:val="000000"/>
                <w:lang w:eastAsia="fr-FR"/>
              </w:rPr>
            </w:pPr>
            <w:r w:rsidRPr="00CF48A1">
              <w:rPr>
                <w:rFonts w:eastAsia="Times New Roman"/>
                <w:b/>
                <w:bCs/>
                <w:color w:val="000000"/>
                <w:lang w:eastAsia="fr-FR"/>
              </w:rPr>
              <w:t>63.3%</w:t>
            </w:r>
          </w:p>
        </w:tc>
      </w:tr>
      <w:tr w:rsidR="00857A4B" w:rsidRPr="00CF48A1" w14:paraId="53D38D9F" w14:textId="77777777" w:rsidTr="0093199D">
        <w:trPr>
          <w:trHeight w:val="61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C5E6871" w14:textId="77777777" w:rsidR="00857A4B" w:rsidRPr="00CF48A1" w:rsidRDefault="00857A4B" w:rsidP="00857A4B">
            <w:pPr>
              <w:jc w:val="both"/>
              <w:rPr>
                <w:rFonts w:eastAsia="Times New Roman"/>
                <w:b/>
                <w:bCs/>
                <w:color w:val="000000"/>
                <w:lang w:eastAsia="fr-FR"/>
              </w:rPr>
            </w:pPr>
            <w:r w:rsidRPr="00CF48A1">
              <w:rPr>
                <w:rFonts w:eastAsia="Times New Roman"/>
                <w:b/>
                <w:bCs/>
                <w:color w:val="000000"/>
                <w:lang w:eastAsia="fr-FR"/>
              </w:rPr>
              <w:t>Quels sont les avantages des inhibiteurs SGLT2 par rapports les autres antidiabétiques ?</w:t>
            </w:r>
          </w:p>
        </w:tc>
        <w:tc>
          <w:tcPr>
            <w:tcW w:w="3685" w:type="dxa"/>
            <w:tcBorders>
              <w:top w:val="nil"/>
              <w:left w:val="nil"/>
              <w:bottom w:val="single" w:sz="4" w:space="0" w:color="auto"/>
              <w:right w:val="single" w:sz="4" w:space="0" w:color="auto"/>
            </w:tcBorders>
            <w:shd w:val="clear" w:color="auto" w:fill="auto"/>
            <w:vAlign w:val="center"/>
            <w:hideMark/>
          </w:tcPr>
          <w:p w14:paraId="7CD9B96C"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La protection cardio-rénale (Indépendamment de l’Hba1c)</w:t>
            </w:r>
          </w:p>
        </w:tc>
        <w:tc>
          <w:tcPr>
            <w:tcW w:w="1267" w:type="dxa"/>
            <w:tcBorders>
              <w:top w:val="nil"/>
              <w:left w:val="nil"/>
              <w:bottom w:val="single" w:sz="4" w:space="0" w:color="auto"/>
              <w:right w:val="single" w:sz="4" w:space="0" w:color="auto"/>
            </w:tcBorders>
            <w:shd w:val="clear" w:color="auto" w:fill="auto"/>
            <w:vAlign w:val="center"/>
            <w:hideMark/>
          </w:tcPr>
          <w:p w14:paraId="47AB6689"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115</w:t>
            </w:r>
          </w:p>
        </w:tc>
        <w:tc>
          <w:tcPr>
            <w:tcW w:w="1427" w:type="dxa"/>
            <w:tcBorders>
              <w:top w:val="nil"/>
              <w:left w:val="nil"/>
              <w:bottom w:val="single" w:sz="4" w:space="0" w:color="auto"/>
              <w:right w:val="single" w:sz="4" w:space="0" w:color="auto"/>
            </w:tcBorders>
            <w:shd w:val="clear" w:color="auto" w:fill="auto"/>
            <w:vAlign w:val="center"/>
            <w:hideMark/>
          </w:tcPr>
          <w:p w14:paraId="15896AD1" w14:textId="77777777" w:rsidR="00857A4B" w:rsidRPr="00CF48A1" w:rsidRDefault="00857A4B" w:rsidP="00857A4B">
            <w:pPr>
              <w:jc w:val="center"/>
              <w:rPr>
                <w:rFonts w:eastAsia="Times New Roman"/>
                <w:b/>
                <w:bCs/>
                <w:color w:val="000000"/>
                <w:lang w:eastAsia="fr-FR"/>
              </w:rPr>
            </w:pPr>
            <w:r w:rsidRPr="00CF48A1">
              <w:rPr>
                <w:rFonts w:eastAsia="Times New Roman"/>
                <w:b/>
                <w:bCs/>
                <w:color w:val="000000"/>
                <w:lang w:eastAsia="fr-FR"/>
              </w:rPr>
              <w:t>78.2%</w:t>
            </w:r>
          </w:p>
        </w:tc>
      </w:tr>
      <w:tr w:rsidR="00857A4B" w:rsidRPr="00CF48A1" w14:paraId="77C9A497" w14:textId="77777777" w:rsidTr="0093199D">
        <w:trPr>
          <w:trHeight w:val="61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5ECE15A" w14:textId="77777777" w:rsidR="00857A4B" w:rsidRPr="00CF48A1" w:rsidRDefault="00857A4B" w:rsidP="00857A4B">
            <w:pPr>
              <w:jc w:val="both"/>
              <w:rPr>
                <w:rFonts w:eastAsia="Times New Roman"/>
                <w:b/>
                <w:bCs/>
                <w:color w:val="000000"/>
                <w:lang w:eastAsia="fr-FR"/>
              </w:rPr>
            </w:pPr>
            <w:r w:rsidRPr="00CF48A1">
              <w:rPr>
                <w:rFonts w:eastAsia="Times New Roman"/>
                <w:b/>
                <w:bCs/>
                <w:color w:val="000000"/>
                <w:lang w:eastAsia="fr-FR"/>
              </w:rPr>
              <w:t>Quelles sont les autres indications des inhibiteurs SGLT2 ?</w:t>
            </w:r>
          </w:p>
        </w:tc>
        <w:tc>
          <w:tcPr>
            <w:tcW w:w="3685" w:type="dxa"/>
            <w:tcBorders>
              <w:top w:val="nil"/>
              <w:left w:val="nil"/>
              <w:bottom w:val="single" w:sz="4" w:space="0" w:color="auto"/>
              <w:right w:val="single" w:sz="4" w:space="0" w:color="auto"/>
            </w:tcBorders>
            <w:shd w:val="clear" w:color="auto" w:fill="auto"/>
            <w:vAlign w:val="center"/>
            <w:hideMark/>
          </w:tcPr>
          <w:p w14:paraId="1B8E3CAC"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L’insuffisance cardiaque et la maladie rénale chronique</w:t>
            </w:r>
          </w:p>
        </w:tc>
        <w:tc>
          <w:tcPr>
            <w:tcW w:w="1267" w:type="dxa"/>
            <w:tcBorders>
              <w:top w:val="nil"/>
              <w:left w:val="nil"/>
              <w:bottom w:val="single" w:sz="4" w:space="0" w:color="auto"/>
              <w:right w:val="single" w:sz="4" w:space="0" w:color="auto"/>
            </w:tcBorders>
            <w:shd w:val="clear" w:color="auto" w:fill="auto"/>
            <w:vAlign w:val="center"/>
            <w:hideMark/>
          </w:tcPr>
          <w:p w14:paraId="3ABA5971" w14:textId="77777777" w:rsidR="00857A4B" w:rsidRPr="00CF48A1" w:rsidRDefault="00857A4B" w:rsidP="00857A4B">
            <w:pPr>
              <w:jc w:val="center"/>
              <w:rPr>
                <w:rFonts w:eastAsia="Times New Roman"/>
                <w:color w:val="000000"/>
                <w:lang w:eastAsia="fr-FR"/>
              </w:rPr>
            </w:pPr>
            <w:r w:rsidRPr="00CF48A1">
              <w:rPr>
                <w:rFonts w:eastAsia="Times New Roman"/>
                <w:color w:val="000000"/>
                <w:lang w:eastAsia="fr-FR"/>
              </w:rPr>
              <w:t>123</w:t>
            </w:r>
          </w:p>
        </w:tc>
        <w:tc>
          <w:tcPr>
            <w:tcW w:w="1427" w:type="dxa"/>
            <w:tcBorders>
              <w:top w:val="nil"/>
              <w:left w:val="nil"/>
              <w:bottom w:val="single" w:sz="4" w:space="0" w:color="auto"/>
              <w:right w:val="single" w:sz="4" w:space="0" w:color="auto"/>
            </w:tcBorders>
            <w:shd w:val="clear" w:color="auto" w:fill="auto"/>
            <w:vAlign w:val="center"/>
            <w:hideMark/>
          </w:tcPr>
          <w:p w14:paraId="1A061E6B" w14:textId="77777777" w:rsidR="00857A4B" w:rsidRPr="00CF48A1" w:rsidRDefault="00857A4B" w:rsidP="00857A4B">
            <w:pPr>
              <w:jc w:val="center"/>
              <w:rPr>
                <w:rFonts w:eastAsia="Times New Roman"/>
                <w:b/>
                <w:bCs/>
                <w:color w:val="000000"/>
                <w:lang w:eastAsia="fr-FR"/>
              </w:rPr>
            </w:pPr>
            <w:r w:rsidRPr="00CF48A1">
              <w:rPr>
                <w:rFonts w:eastAsia="Times New Roman"/>
                <w:b/>
                <w:bCs/>
                <w:color w:val="000000"/>
                <w:lang w:eastAsia="fr-FR"/>
              </w:rPr>
              <w:t>83.7%</w:t>
            </w:r>
          </w:p>
        </w:tc>
      </w:tr>
    </w:tbl>
    <w:p w14:paraId="6210B8D8" w14:textId="77777777" w:rsidR="000574BB" w:rsidRPr="00CF48A1" w:rsidRDefault="000574BB" w:rsidP="009A5599">
      <w:pPr>
        <w:jc w:val="both"/>
      </w:pPr>
    </w:p>
    <w:p w14:paraId="369021B1" w14:textId="77777777" w:rsidR="000574BB" w:rsidRPr="00CF48A1" w:rsidRDefault="000574BB" w:rsidP="009A5599">
      <w:pPr>
        <w:jc w:val="both"/>
      </w:pPr>
      <w:r w:rsidRPr="00CF48A1">
        <w:t>2.1</w:t>
      </w:r>
      <w:r w:rsidR="005655CB" w:rsidRPr="00CF48A1">
        <w:t xml:space="preserve">) </w:t>
      </w:r>
      <w:r w:rsidRPr="00CF48A1">
        <w:t>L’effet des inhibiteurs SGLT2 sur la pression artérielle</w:t>
      </w:r>
    </w:p>
    <w:p w14:paraId="371040DC" w14:textId="77777777" w:rsidR="008F6AC3" w:rsidRPr="00CF48A1" w:rsidRDefault="008F6AC3" w:rsidP="0093199D"/>
    <w:p w14:paraId="05950ACC" w14:textId="77777777" w:rsidR="008F6AC3" w:rsidRPr="00CF48A1" w:rsidRDefault="000574BB" w:rsidP="008F6AC3">
      <w:pPr>
        <w:jc w:val="center"/>
      </w:pPr>
      <w:r w:rsidRPr="00CF48A1">
        <w:rPr>
          <w:noProof/>
          <w:lang w:eastAsia="fr-FR"/>
        </w:rPr>
        <w:drawing>
          <wp:inline distT="0" distB="0" distL="0" distR="0" wp14:anchorId="304C3891" wp14:editId="35F3980D">
            <wp:extent cx="3034934" cy="2278380"/>
            <wp:effectExtent l="0" t="0" r="0" b="0"/>
            <wp:docPr id="176830877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1108" cy="2320551"/>
                    </a:xfrm>
                    <a:prstGeom prst="rect">
                      <a:avLst/>
                    </a:prstGeom>
                    <a:noFill/>
                    <a:ln>
                      <a:noFill/>
                    </a:ln>
                  </pic:spPr>
                </pic:pic>
              </a:graphicData>
            </a:graphic>
          </wp:inline>
        </w:drawing>
      </w:r>
    </w:p>
    <w:p w14:paraId="41CBE38A" w14:textId="147F019A" w:rsidR="000574BB" w:rsidRPr="00CF48A1" w:rsidRDefault="000574BB" w:rsidP="00327805">
      <w:pPr>
        <w:jc w:val="center"/>
        <w:rPr>
          <w:sz w:val="22"/>
        </w:rPr>
      </w:pPr>
      <w:r w:rsidRPr="00CF48A1">
        <w:rPr>
          <w:sz w:val="22"/>
        </w:rPr>
        <w:t>Figure</w:t>
      </w:r>
      <w:r w:rsidR="005655CB" w:rsidRPr="00CF48A1">
        <w:rPr>
          <w:sz w:val="22"/>
        </w:rPr>
        <w:t xml:space="preserve"> </w:t>
      </w:r>
      <w:r w:rsidR="00152209" w:rsidRPr="00CF48A1">
        <w:rPr>
          <w:sz w:val="22"/>
        </w:rPr>
        <w:t>4</w:t>
      </w:r>
      <w:r w:rsidRPr="00CF48A1">
        <w:rPr>
          <w:sz w:val="22"/>
        </w:rPr>
        <w:t xml:space="preserve"> : Répartition selon la compréhension de l’effet des I-SGLT2 sur la pression artérielle</w:t>
      </w:r>
    </w:p>
    <w:p w14:paraId="45E4FE26" w14:textId="77777777" w:rsidR="000574BB" w:rsidRPr="00CF48A1" w:rsidRDefault="000574BB" w:rsidP="009A5599">
      <w:pPr>
        <w:jc w:val="both"/>
      </w:pPr>
    </w:p>
    <w:p w14:paraId="7CF6C98C" w14:textId="45C80FFB" w:rsidR="000574BB" w:rsidRPr="00CF48A1" w:rsidRDefault="000574BB" w:rsidP="00DB7BEF">
      <w:pPr>
        <w:spacing w:line="360" w:lineRule="auto"/>
        <w:jc w:val="both"/>
      </w:pPr>
      <w:r w:rsidRPr="00CF48A1">
        <w:lastRenderedPageBreak/>
        <w:t xml:space="preserve">Les </w:t>
      </w:r>
      <w:r w:rsidR="00DB7BEF" w:rsidRPr="00CF48A1">
        <w:t>réponses des pharmaciens à cette question</w:t>
      </w:r>
      <w:r w:rsidRPr="00CF48A1">
        <w:t xml:space="preserve"> montrent que seulement 34 % des pharmaciens connaissent l’effet de ces médicaments sur la pression artérielle</w:t>
      </w:r>
      <w:r w:rsidR="00EA0B73" w:rsidRPr="00CF48A1">
        <w:t>.</w:t>
      </w:r>
    </w:p>
    <w:p w14:paraId="229F0695" w14:textId="77777777" w:rsidR="009A5599" w:rsidRPr="00CF48A1" w:rsidRDefault="009A5599" w:rsidP="009A5599">
      <w:pPr>
        <w:jc w:val="both"/>
      </w:pPr>
    </w:p>
    <w:p w14:paraId="49CC4C62" w14:textId="2719EF6B" w:rsidR="009A5599" w:rsidRPr="00CF48A1" w:rsidRDefault="009A5599" w:rsidP="009A5599">
      <w:pPr>
        <w:jc w:val="both"/>
      </w:pPr>
      <w:r w:rsidRPr="00CF48A1">
        <w:t>2.2</w:t>
      </w:r>
      <w:r w:rsidR="00DB7BEF" w:rsidRPr="00CF48A1">
        <w:t xml:space="preserve">) </w:t>
      </w:r>
      <w:r w:rsidRPr="00CF48A1">
        <w:t>Conseil</w:t>
      </w:r>
      <w:r w:rsidR="00EA0B73" w:rsidRPr="00CF48A1">
        <w:t>s</w:t>
      </w:r>
      <w:r w:rsidRPr="00CF48A1">
        <w:t xml:space="preserve"> aux patients traités par des inhibiteurs SGLT2 </w:t>
      </w:r>
    </w:p>
    <w:p w14:paraId="3D9B25AA" w14:textId="77777777" w:rsidR="009A5599" w:rsidRPr="00CF48A1" w:rsidRDefault="009A5599" w:rsidP="009A5599">
      <w:pPr>
        <w:jc w:val="both"/>
      </w:pPr>
    </w:p>
    <w:p w14:paraId="7F88E251" w14:textId="1D327FE5" w:rsidR="009A5599" w:rsidRPr="00CF48A1" w:rsidRDefault="008D094E" w:rsidP="00857A4B">
      <w:pPr>
        <w:jc w:val="center"/>
      </w:pPr>
      <w:r w:rsidRPr="00CF48A1">
        <w:rPr>
          <w:sz w:val="22"/>
        </w:rPr>
        <w:t xml:space="preserve">  </w:t>
      </w:r>
      <w:r w:rsidR="009A5599" w:rsidRPr="00CF48A1">
        <w:rPr>
          <w:noProof/>
          <w:lang w:eastAsia="fr-FR"/>
        </w:rPr>
        <w:drawing>
          <wp:inline distT="0" distB="0" distL="0" distR="0" wp14:anchorId="0F09B5F6" wp14:editId="02964BDA">
            <wp:extent cx="3063240" cy="2234167"/>
            <wp:effectExtent l="0" t="0" r="0" b="0"/>
            <wp:docPr id="90425142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2975" cy="2270441"/>
                    </a:xfrm>
                    <a:prstGeom prst="rect">
                      <a:avLst/>
                    </a:prstGeom>
                    <a:noFill/>
                    <a:ln>
                      <a:noFill/>
                    </a:ln>
                  </pic:spPr>
                </pic:pic>
              </a:graphicData>
            </a:graphic>
          </wp:inline>
        </w:drawing>
      </w:r>
    </w:p>
    <w:p w14:paraId="415F4199" w14:textId="60A25A56" w:rsidR="009A5599" w:rsidRPr="00CF48A1" w:rsidRDefault="00327805" w:rsidP="00327805">
      <w:pPr>
        <w:jc w:val="center"/>
        <w:rPr>
          <w:sz w:val="22"/>
        </w:rPr>
      </w:pPr>
      <w:r w:rsidRPr="00CF48A1">
        <w:rPr>
          <w:sz w:val="22"/>
        </w:rPr>
        <w:t>Figure</w:t>
      </w:r>
      <w:r w:rsidR="00A97DE8" w:rsidRPr="00CF48A1">
        <w:rPr>
          <w:sz w:val="22"/>
        </w:rPr>
        <w:t xml:space="preserve"> </w:t>
      </w:r>
      <w:proofErr w:type="gramStart"/>
      <w:r w:rsidR="00152209" w:rsidRPr="00CF48A1">
        <w:rPr>
          <w:sz w:val="22"/>
        </w:rPr>
        <w:t>5</w:t>
      </w:r>
      <w:r w:rsidRPr="00CF48A1">
        <w:rPr>
          <w:sz w:val="22"/>
        </w:rPr>
        <w:t>:</w:t>
      </w:r>
      <w:proofErr w:type="gramEnd"/>
      <w:r w:rsidRPr="00CF48A1">
        <w:rPr>
          <w:sz w:val="22"/>
        </w:rPr>
        <w:t xml:space="preserve"> Répartition</w:t>
      </w:r>
      <w:r w:rsidR="009A5599" w:rsidRPr="00CF48A1">
        <w:rPr>
          <w:sz w:val="22"/>
        </w:rPr>
        <w:t xml:space="preserve"> selon la connaissance du meilleur conseil aux patients traités par les </w:t>
      </w:r>
      <w:r w:rsidRPr="00CF48A1">
        <w:rPr>
          <w:sz w:val="22"/>
        </w:rPr>
        <w:t>I</w:t>
      </w:r>
      <w:r w:rsidR="009A5599" w:rsidRPr="00CF48A1">
        <w:rPr>
          <w:sz w:val="22"/>
        </w:rPr>
        <w:t>SGLT2</w:t>
      </w:r>
    </w:p>
    <w:p w14:paraId="7E64744D" w14:textId="77777777" w:rsidR="00327805" w:rsidRPr="00CF48A1" w:rsidRDefault="00327805" w:rsidP="009A5599">
      <w:pPr>
        <w:jc w:val="center"/>
      </w:pPr>
    </w:p>
    <w:p w14:paraId="6ECEB97D" w14:textId="7643D1D8" w:rsidR="008D094E" w:rsidRPr="00CF48A1" w:rsidRDefault="009A5599" w:rsidP="003F05E9">
      <w:pPr>
        <w:spacing w:line="360" w:lineRule="auto"/>
        <w:jc w:val="both"/>
      </w:pPr>
      <w:r w:rsidRPr="00CF48A1">
        <w:t>Les résultats ont montré que seulement 32,7 % des participants peuvent offrir des conseils pour réduire les effets indésirables des inhibiteurs SGLT2</w:t>
      </w:r>
      <w:r w:rsidR="007A71F0" w:rsidRPr="00CF48A1">
        <w:t>.</w:t>
      </w:r>
    </w:p>
    <w:p w14:paraId="0BAED2A5" w14:textId="77777777" w:rsidR="008D094E" w:rsidRPr="00CF48A1" w:rsidRDefault="008D094E" w:rsidP="009A5599">
      <w:pPr>
        <w:jc w:val="both"/>
      </w:pPr>
    </w:p>
    <w:p w14:paraId="4CD3BC83" w14:textId="77777777" w:rsidR="009A5599" w:rsidRPr="00CF48A1" w:rsidRDefault="009A5599" w:rsidP="009A5599">
      <w:pPr>
        <w:jc w:val="both"/>
      </w:pPr>
      <w:r w:rsidRPr="00CF48A1">
        <w:t>2.3</w:t>
      </w:r>
      <w:r w:rsidR="00327805" w:rsidRPr="00CF48A1">
        <w:t xml:space="preserve">) </w:t>
      </w:r>
      <w:r w:rsidRPr="00CF48A1">
        <w:t xml:space="preserve">Les patients qui </w:t>
      </w:r>
      <w:r w:rsidR="00327805" w:rsidRPr="00CF48A1">
        <w:t>peuvent</w:t>
      </w:r>
      <w:r w:rsidRPr="00CF48A1">
        <w:t xml:space="preserve"> bénéficie</w:t>
      </w:r>
      <w:r w:rsidR="00327805" w:rsidRPr="00CF48A1">
        <w:t xml:space="preserve">r </w:t>
      </w:r>
      <w:r w:rsidRPr="00CF48A1">
        <w:t xml:space="preserve">des inhibiteurs SGLT2 </w:t>
      </w:r>
    </w:p>
    <w:p w14:paraId="71F3CCBF" w14:textId="77777777" w:rsidR="009A5599" w:rsidRPr="00CF48A1" w:rsidRDefault="009A5599" w:rsidP="009A5599">
      <w:pPr>
        <w:jc w:val="both"/>
      </w:pPr>
    </w:p>
    <w:p w14:paraId="2798C8C5" w14:textId="77777777" w:rsidR="00327805" w:rsidRPr="00CF48A1" w:rsidRDefault="00327805" w:rsidP="00327805">
      <w:pPr>
        <w:jc w:val="center"/>
      </w:pPr>
      <w:r w:rsidRPr="00CF48A1">
        <w:rPr>
          <w:noProof/>
          <w:lang w:eastAsia="fr-FR"/>
        </w:rPr>
        <w:drawing>
          <wp:inline distT="0" distB="0" distL="0" distR="0" wp14:anchorId="5AE8A77C" wp14:editId="31BAF963">
            <wp:extent cx="3325389" cy="2533650"/>
            <wp:effectExtent l="0" t="0" r="0" b="0"/>
            <wp:docPr id="174227276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7623" cy="2588686"/>
                    </a:xfrm>
                    <a:prstGeom prst="rect">
                      <a:avLst/>
                    </a:prstGeom>
                    <a:noFill/>
                    <a:ln>
                      <a:noFill/>
                    </a:ln>
                  </pic:spPr>
                </pic:pic>
              </a:graphicData>
            </a:graphic>
          </wp:inline>
        </w:drawing>
      </w:r>
    </w:p>
    <w:p w14:paraId="2B5AF414" w14:textId="2A422932" w:rsidR="009A5599" w:rsidRPr="00CF48A1" w:rsidRDefault="00327805" w:rsidP="00327805">
      <w:pPr>
        <w:jc w:val="center"/>
        <w:rPr>
          <w:sz w:val="22"/>
        </w:rPr>
      </w:pPr>
      <w:r w:rsidRPr="00CF48A1">
        <w:rPr>
          <w:sz w:val="22"/>
        </w:rPr>
        <w:t>F</w:t>
      </w:r>
      <w:r w:rsidR="009A5599" w:rsidRPr="00CF48A1">
        <w:rPr>
          <w:sz w:val="22"/>
        </w:rPr>
        <w:t>igure</w:t>
      </w:r>
      <w:r w:rsidRPr="00CF48A1">
        <w:rPr>
          <w:sz w:val="22"/>
        </w:rPr>
        <w:t xml:space="preserve"> </w:t>
      </w:r>
      <w:r w:rsidR="00152209" w:rsidRPr="00CF48A1">
        <w:rPr>
          <w:sz w:val="22"/>
        </w:rPr>
        <w:t>6</w:t>
      </w:r>
      <w:r w:rsidR="009A5599" w:rsidRPr="00CF48A1">
        <w:rPr>
          <w:sz w:val="22"/>
        </w:rPr>
        <w:t xml:space="preserve"> : Répartition selon la connaissance des patients qui en bénéficient le plus des I-SGLT2</w:t>
      </w:r>
    </w:p>
    <w:p w14:paraId="5B525F52" w14:textId="77777777" w:rsidR="009A5599" w:rsidRPr="00CF48A1" w:rsidRDefault="009A5599" w:rsidP="009A5599">
      <w:pPr>
        <w:jc w:val="both"/>
      </w:pPr>
    </w:p>
    <w:p w14:paraId="021FA9E4" w14:textId="77777777" w:rsidR="009A5599" w:rsidRPr="00CF48A1" w:rsidRDefault="009A5599" w:rsidP="009A5599">
      <w:pPr>
        <w:jc w:val="both"/>
      </w:pPr>
    </w:p>
    <w:p w14:paraId="13C54A93" w14:textId="50C87949" w:rsidR="009A5599" w:rsidRPr="00CF48A1" w:rsidRDefault="007A71F0" w:rsidP="00327805">
      <w:pPr>
        <w:spacing w:line="360" w:lineRule="auto"/>
        <w:jc w:val="both"/>
      </w:pPr>
      <w:r w:rsidRPr="00CF48A1">
        <w:t>S</w:t>
      </w:r>
      <w:r w:rsidR="009A5599" w:rsidRPr="00CF48A1">
        <w:t>eulement 35,4 % des pharmaciens participants savent quels patients bénéficient le plus de ces médicaments</w:t>
      </w:r>
    </w:p>
    <w:p w14:paraId="12CAAC78" w14:textId="77777777" w:rsidR="009A5599" w:rsidRPr="00CF48A1" w:rsidRDefault="009A5599" w:rsidP="009A5599">
      <w:pPr>
        <w:jc w:val="both"/>
      </w:pPr>
    </w:p>
    <w:p w14:paraId="27E33B5E" w14:textId="77777777" w:rsidR="0093199D" w:rsidRPr="00CF48A1" w:rsidRDefault="0093199D" w:rsidP="009A5599">
      <w:pPr>
        <w:jc w:val="both"/>
      </w:pPr>
    </w:p>
    <w:p w14:paraId="6C0AADB0" w14:textId="77777777" w:rsidR="0093199D" w:rsidRPr="00CF48A1" w:rsidRDefault="0093199D" w:rsidP="009A5599">
      <w:pPr>
        <w:jc w:val="both"/>
      </w:pPr>
    </w:p>
    <w:p w14:paraId="04473184" w14:textId="77777777" w:rsidR="009A5599" w:rsidRPr="00CF48A1" w:rsidRDefault="009A5599" w:rsidP="009A5599">
      <w:pPr>
        <w:jc w:val="both"/>
      </w:pPr>
      <w:r w:rsidRPr="00CF48A1">
        <w:lastRenderedPageBreak/>
        <w:t>2.4</w:t>
      </w:r>
      <w:r w:rsidR="00327805" w:rsidRPr="00CF48A1">
        <w:t xml:space="preserve">) </w:t>
      </w:r>
      <w:r w:rsidRPr="00CF48A1">
        <w:t xml:space="preserve">Mécanisme d’action des inhibiteurs SGLT2 </w:t>
      </w:r>
    </w:p>
    <w:p w14:paraId="3A435817" w14:textId="77777777" w:rsidR="009A5599" w:rsidRPr="00CF48A1" w:rsidRDefault="009A5599" w:rsidP="009A5599">
      <w:pPr>
        <w:jc w:val="both"/>
      </w:pPr>
    </w:p>
    <w:p w14:paraId="77E2C4AB" w14:textId="77777777" w:rsidR="009A5599" w:rsidRPr="00CF48A1" w:rsidRDefault="009A5599" w:rsidP="00327805">
      <w:pPr>
        <w:jc w:val="center"/>
      </w:pPr>
      <w:r w:rsidRPr="00CF48A1">
        <w:rPr>
          <w:noProof/>
          <w:lang w:eastAsia="fr-FR"/>
        </w:rPr>
        <w:drawing>
          <wp:inline distT="0" distB="0" distL="0" distR="0" wp14:anchorId="603C9B99" wp14:editId="6D2380AC">
            <wp:extent cx="3432669" cy="2505075"/>
            <wp:effectExtent l="0" t="0" r="0" b="0"/>
            <wp:docPr id="181092818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1173" cy="2555067"/>
                    </a:xfrm>
                    <a:prstGeom prst="rect">
                      <a:avLst/>
                    </a:prstGeom>
                    <a:noFill/>
                    <a:ln>
                      <a:noFill/>
                    </a:ln>
                  </pic:spPr>
                </pic:pic>
              </a:graphicData>
            </a:graphic>
          </wp:inline>
        </w:drawing>
      </w:r>
    </w:p>
    <w:p w14:paraId="519FCD48" w14:textId="10C702EC" w:rsidR="009A5599" w:rsidRPr="00CF48A1" w:rsidRDefault="009A5599" w:rsidP="00327805">
      <w:pPr>
        <w:jc w:val="center"/>
      </w:pPr>
      <w:r w:rsidRPr="00CF48A1">
        <w:t xml:space="preserve">Figure </w:t>
      </w:r>
      <w:r w:rsidR="00152209" w:rsidRPr="00CF48A1">
        <w:t>7</w:t>
      </w:r>
      <w:r w:rsidR="00327805" w:rsidRPr="00CF48A1">
        <w:t xml:space="preserve"> </w:t>
      </w:r>
      <w:r w:rsidRPr="00CF48A1">
        <w:t>: Répartition selon la connaissance du mécanisme d’action des I-SGLT2</w:t>
      </w:r>
    </w:p>
    <w:p w14:paraId="7A93120D" w14:textId="77777777" w:rsidR="00327805" w:rsidRPr="00CF48A1" w:rsidRDefault="00327805" w:rsidP="00327805">
      <w:pPr>
        <w:jc w:val="center"/>
      </w:pPr>
    </w:p>
    <w:p w14:paraId="77288730" w14:textId="35E1D5EA" w:rsidR="009A5599" w:rsidRPr="00CF48A1" w:rsidRDefault="009A5599" w:rsidP="00327805">
      <w:pPr>
        <w:spacing w:line="360" w:lineRule="auto"/>
        <w:jc w:val="both"/>
      </w:pPr>
      <w:r w:rsidRPr="00CF48A1">
        <w:t>42,2 % des pharmaciens participants savent le mécanisme d’action des inhibiteurs SGLT2.</w:t>
      </w:r>
    </w:p>
    <w:p w14:paraId="08C93934" w14:textId="77777777" w:rsidR="007A71F0" w:rsidRPr="00CF48A1" w:rsidRDefault="007A71F0" w:rsidP="00327805">
      <w:pPr>
        <w:spacing w:line="360" w:lineRule="auto"/>
        <w:jc w:val="both"/>
      </w:pPr>
    </w:p>
    <w:p w14:paraId="791F52A0" w14:textId="2B91E0EC" w:rsidR="00704797" w:rsidRPr="00CF48A1" w:rsidRDefault="00704797" w:rsidP="00152209">
      <w:pPr>
        <w:jc w:val="both"/>
      </w:pPr>
      <w:proofErr w:type="gramStart"/>
      <w:r w:rsidRPr="00CF48A1">
        <w:t>2.</w:t>
      </w:r>
      <w:r w:rsidR="00A97DE8" w:rsidRPr="00CF48A1">
        <w:t>5</w:t>
      </w:r>
      <w:r w:rsidR="000C39AE" w:rsidRPr="00CF48A1">
        <w:t>)</w:t>
      </w:r>
      <w:r w:rsidRPr="00CF48A1">
        <w:t>L’effet</w:t>
      </w:r>
      <w:proofErr w:type="gramEnd"/>
      <w:r w:rsidRPr="00CF48A1">
        <w:t xml:space="preserve"> indésirable le plus fréquent </w:t>
      </w:r>
    </w:p>
    <w:p w14:paraId="518097E2" w14:textId="77777777" w:rsidR="00704797" w:rsidRPr="00CF48A1" w:rsidRDefault="00704797" w:rsidP="005C23DA">
      <w:pPr>
        <w:jc w:val="center"/>
      </w:pPr>
      <w:r w:rsidRPr="00CF48A1">
        <w:rPr>
          <w:noProof/>
          <w:lang w:eastAsia="fr-FR"/>
        </w:rPr>
        <w:drawing>
          <wp:inline distT="0" distB="0" distL="0" distR="0" wp14:anchorId="3DEC6DE4" wp14:editId="7E8A54A0">
            <wp:extent cx="3672205" cy="2676525"/>
            <wp:effectExtent l="0" t="0" r="0" b="0"/>
            <wp:docPr id="80418607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8486" cy="2710257"/>
                    </a:xfrm>
                    <a:prstGeom prst="rect">
                      <a:avLst/>
                    </a:prstGeom>
                    <a:noFill/>
                    <a:ln>
                      <a:noFill/>
                    </a:ln>
                  </pic:spPr>
                </pic:pic>
              </a:graphicData>
            </a:graphic>
          </wp:inline>
        </w:drawing>
      </w:r>
    </w:p>
    <w:p w14:paraId="4D4FA12D" w14:textId="68091B8A" w:rsidR="00704797" w:rsidRPr="00CF48A1" w:rsidRDefault="00704797" w:rsidP="005C23DA">
      <w:pPr>
        <w:jc w:val="center"/>
      </w:pPr>
      <w:r w:rsidRPr="00CF48A1">
        <w:t xml:space="preserve">Figure </w:t>
      </w:r>
      <w:r w:rsidR="00152209" w:rsidRPr="00CF48A1">
        <w:t>8</w:t>
      </w:r>
      <w:r w:rsidR="00D35C36" w:rsidRPr="00CF48A1">
        <w:t xml:space="preserve"> </w:t>
      </w:r>
      <w:r w:rsidRPr="00CF48A1">
        <w:t>: Répartition selon la connaissance de l’effet indésirable le plus fréquent</w:t>
      </w:r>
    </w:p>
    <w:p w14:paraId="02E720A8" w14:textId="77777777" w:rsidR="00704797" w:rsidRPr="00CF48A1" w:rsidRDefault="00704797" w:rsidP="00704797">
      <w:pPr>
        <w:jc w:val="both"/>
      </w:pPr>
    </w:p>
    <w:p w14:paraId="77DC7052" w14:textId="77777777" w:rsidR="00704797" w:rsidRPr="00CF48A1" w:rsidRDefault="00704797" w:rsidP="00704797">
      <w:pPr>
        <w:jc w:val="both"/>
      </w:pPr>
    </w:p>
    <w:p w14:paraId="1C6A2BA4" w14:textId="1023D3F2" w:rsidR="00704797" w:rsidRPr="00CF48A1" w:rsidRDefault="007A71F0" w:rsidP="007A71F0">
      <w:pPr>
        <w:spacing w:line="360" w:lineRule="auto"/>
        <w:jc w:val="both"/>
      </w:pPr>
      <w:r w:rsidRPr="00CF48A1">
        <w:t>Presque la moitié des participants (</w:t>
      </w:r>
      <w:r w:rsidR="00704797" w:rsidRPr="00CF48A1">
        <w:t>46.9%</w:t>
      </w:r>
      <w:r w:rsidRPr="00CF48A1">
        <w:t>)</w:t>
      </w:r>
      <w:r w:rsidR="00704797" w:rsidRPr="00CF48A1">
        <w:t xml:space="preserve"> savent que les infections urogénitales sont l’effet indésirable le plus courant des </w:t>
      </w:r>
      <w:proofErr w:type="spellStart"/>
      <w:r w:rsidR="00704797" w:rsidRPr="00CF48A1">
        <w:t>gliflozines</w:t>
      </w:r>
      <w:proofErr w:type="spellEnd"/>
      <w:r w:rsidR="00704797" w:rsidRPr="00CF48A1">
        <w:t>.</w:t>
      </w:r>
    </w:p>
    <w:p w14:paraId="66504E13" w14:textId="77777777" w:rsidR="0093199D" w:rsidRPr="00CF48A1" w:rsidRDefault="0093199D" w:rsidP="00704797">
      <w:pPr>
        <w:jc w:val="both"/>
      </w:pPr>
    </w:p>
    <w:p w14:paraId="19643F3A" w14:textId="77777777" w:rsidR="0093199D" w:rsidRPr="00CF48A1" w:rsidRDefault="0093199D" w:rsidP="00704797">
      <w:pPr>
        <w:jc w:val="both"/>
      </w:pPr>
    </w:p>
    <w:p w14:paraId="13508804" w14:textId="77777777" w:rsidR="0093199D" w:rsidRPr="00CF48A1" w:rsidRDefault="0093199D" w:rsidP="00704797">
      <w:pPr>
        <w:jc w:val="both"/>
      </w:pPr>
    </w:p>
    <w:p w14:paraId="7F7F99AA" w14:textId="77777777" w:rsidR="0093199D" w:rsidRPr="00CF48A1" w:rsidRDefault="0093199D" w:rsidP="00704797">
      <w:pPr>
        <w:jc w:val="both"/>
      </w:pPr>
    </w:p>
    <w:p w14:paraId="1787852D" w14:textId="77777777" w:rsidR="0093199D" w:rsidRPr="00CF48A1" w:rsidRDefault="0093199D" w:rsidP="00704797">
      <w:pPr>
        <w:jc w:val="both"/>
      </w:pPr>
    </w:p>
    <w:p w14:paraId="16E85B53" w14:textId="77777777" w:rsidR="0093199D" w:rsidRPr="00CF48A1" w:rsidRDefault="0093199D" w:rsidP="00704797">
      <w:pPr>
        <w:jc w:val="both"/>
      </w:pPr>
    </w:p>
    <w:p w14:paraId="22125E77" w14:textId="77777777" w:rsidR="0093199D" w:rsidRPr="00CF48A1" w:rsidRDefault="0093199D" w:rsidP="00704797">
      <w:pPr>
        <w:jc w:val="both"/>
      </w:pPr>
    </w:p>
    <w:p w14:paraId="3018FA83" w14:textId="5D370046" w:rsidR="00704797" w:rsidRPr="00CF48A1" w:rsidRDefault="00704797" w:rsidP="00704797">
      <w:pPr>
        <w:jc w:val="both"/>
      </w:pPr>
      <w:r w:rsidRPr="00CF48A1">
        <w:lastRenderedPageBreak/>
        <w:t>2.</w:t>
      </w:r>
      <w:r w:rsidR="00A97DE8" w:rsidRPr="00CF48A1">
        <w:t>6</w:t>
      </w:r>
      <w:r w:rsidR="005C23DA" w:rsidRPr="00CF48A1">
        <w:t xml:space="preserve">) </w:t>
      </w:r>
      <w:r w:rsidRPr="00CF48A1">
        <w:t xml:space="preserve">L’effet des inhibiteurs SGLT2 sur le poids </w:t>
      </w:r>
    </w:p>
    <w:p w14:paraId="494F3574" w14:textId="77777777" w:rsidR="00704797" w:rsidRPr="00CF48A1" w:rsidRDefault="00704797" w:rsidP="00704797">
      <w:pPr>
        <w:jc w:val="both"/>
      </w:pPr>
    </w:p>
    <w:p w14:paraId="7480F307" w14:textId="77777777" w:rsidR="00704797" w:rsidRPr="00CF48A1" w:rsidRDefault="00704797" w:rsidP="005C23DA">
      <w:pPr>
        <w:jc w:val="center"/>
      </w:pPr>
      <w:r w:rsidRPr="00CF48A1">
        <w:rPr>
          <w:noProof/>
          <w:lang w:eastAsia="fr-FR"/>
        </w:rPr>
        <w:drawing>
          <wp:inline distT="0" distB="0" distL="0" distR="0" wp14:anchorId="7582C88E" wp14:editId="22E761B6">
            <wp:extent cx="3511270" cy="2514600"/>
            <wp:effectExtent l="0" t="0" r="0" b="0"/>
            <wp:docPr id="36904897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5984" cy="2546622"/>
                    </a:xfrm>
                    <a:prstGeom prst="rect">
                      <a:avLst/>
                    </a:prstGeom>
                    <a:noFill/>
                    <a:ln>
                      <a:noFill/>
                    </a:ln>
                  </pic:spPr>
                </pic:pic>
              </a:graphicData>
            </a:graphic>
          </wp:inline>
        </w:drawing>
      </w:r>
    </w:p>
    <w:p w14:paraId="11F83C85" w14:textId="55F6B0AB" w:rsidR="00704797" w:rsidRPr="00CF48A1" w:rsidRDefault="005C23DA" w:rsidP="005C23DA">
      <w:pPr>
        <w:jc w:val="center"/>
      </w:pPr>
      <w:r w:rsidRPr="00CF48A1">
        <w:t>F</w:t>
      </w:r>
      <w:r w:rsidR="00704797" w:rsidRPr="00CF48A1">
        <w:t xml:space="preserve">igure </w:t>
      </w:r>
      <w:proofErr w:type="gramStart"/>
      <w:r w:rsidR="00152209" w:rsidRPr="00CF48A1">
        <w:t>9</w:t>
      </w:r>
      <w:r w:rsidR="00704797" w:rsidRPr="00CF48A1">
        <w:t>:</w:t>
      </w:r>
      <w:proofErr w:type="gramEnd"/>
      <w:r w:rsidR="00704797" w:rsidRPr="00CF48A1">
        <w:t xml:space="preserve"> Répartition selon la connaissance de l’effet des I-SGLT2 sur le poids</w:t>
      </w:r>
    </w:p>
    <w:p w14:paraId="7B368039" w14:textId="77777777" w:rsidR="00704797" w:rsidRPr="00CF48A1" w:rsidRDefault="00704797" w:rsidP="005C23DA">
      <w:pPr>
        <w:spacing w:line="360" w:lineRule="auto"/>
        <w:jc w:val="both"/>
      </w:pPr>
    </w:p>
    <w:p w14:paraId="1BBE615E" w14:textId="09251277" w:rsidR="006F7C9B" w:rsidRPr="00CF48A1" w:rsidRDefault="005C23DA" w:rsidP="0093199D">
      <w:pPr>
        <w:spacing w:line="360" w:lineRule="auto"/>
        <w:jc w:val="both"/>
      </w:pPr>
      <w:r w:rsidRPr="00CF48A1">
        <w:t>Les résultats</w:t>
      </w:r>
      <w:r w:rsidR="0093199D" w:rsidRPr="00CF48A1">
        <w:t xml:space="preserve"> </w:t>
      </w:r>
      <w:r w:rsidRPr="00CF48A1">
        <w:t xml:space="preserve">ont </w:t>
      </w:r>
      <w:r w:rsidR="00704797" w:rsidRPr="00CF48A1">
        <w:t>montré que la moitié des pharmaciens participants savent que ces médicaments contribuent à la réduction pondérale.</w:t>
      </w:r>
    </w:p>
    <w:p w14:paraId="71AA0A85" w14:textId="77777777" w:rsidR="00E71EBB" w:rsidRPr="00CF48A1" w:rsidRDefault="00E71EBB" w:rsidP="009A5599">
      <w:pPr>
        <w:jc w:val="both"/>
      </w:pPr>
    </w:p>
    <w:p w14:paraId="12E562F7" w14:textId="4375615D" w:rsidR="008F6AC3" w:rsidRPr="00CF48A1" w:rsidRDefault="006F7C9B" w:rsidP="0093199D">
      <w:pPr>
        <w:jc w:val="both"/>
      </w:pPr>
      <w:r w:rsidRPr="00CF48A1">
        <w:t>2.</w:t>
      </w:r>
      <w:r w:rsidR="00A97DE8" w:rsidRPr="00CF48A1">
        <w:t>7</w:t>
      </w:r>
      <w:r w:rsidR="00CD6749" w:rsidRPr="00CF48A1">
        <w:t xml:space="preserve">) </w:t>
      </w:r>
      <w:r w:rsidRPr="00CF48A1">
        <w:t xml:space="preserve">La principale contre-indication des inhibiteurs SGLT2 </w:t>
      </w:r>
    </w:p>
    <w:p w14:paraId="5ADB2CD7" w14:textId="77777777" w:rsidR="006F7C9B" w:rsidRPr="00CF48A1" w:rsidRDefault="006F7C9B" w:rsidP="009A5599">
      <w:pPr>
        <w:jc w:val="both"/>
      </w:pPr>
    </w:p>
    <w:p w14:paraId="25542865" w14:textId="77777777" w:rsidR="006F7C9B" w:rsidRPr="00CF48A1" w:rsidRDefault="006F7C9B" w:rsidP="00CD6749">
      <w:pPr>
        <w:jc w:val="center"/>
      </w:pPr>
      <w:r w:rsidRPr="00CF48A1">
        <w:rPr>
          <w:noProof/>
          <w:lang w:eastAsia="fr-FR"/>
        </w:rPr>
        <w:drawing>
          <wp:inline distT="0" distB="0" distL="0" distR="0" wp14:anchorId="159714AF" wp14:editId="248CAA7E">
            <wp:extent cx="3922934" cy="2973543"/>
            <wp:effectExtent l="0" t="0" r="0" b="0"/>
            <wp:docPr id="179431633"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8189" cy="2985106"/>
                    </a:xfrm>
                    <a:prstGeom prst="rect">
                      <a:avLst/>
                    </a:prstGeom>
                    <a:noFill/>
                    <a:ln>
                      <a:noFill/>
                    </a:ln>
                  </pic:spPr>
                </pic:pic>
              </a:graphicData>
            </a:graphic>
          </wp:inline>
        </w:drawing>
      </w:r>
    </w:p>
    <w:p w14:paraId="289E80F0" w14:textId="77777777" w:rsidR="006F7C9B" w:rsidRPr="00CF48A1" w:rsidRDefault="006F7C9B" w:rsidP="006F7C9B">
      <w:pPr>
        <w:jc w:val="both"/>
      </w:pPr>
    </w:p>
    <w:p w14:paraId="63C52D49" w14:textId="1D93AA9A" w:rsidR="006F7C9B" w:rsidRPr="00CF48A1" w:rsidRDefault="00CD6749" w:rsidP="00E71EBB">
      <w:pPr>
        <w:jc w:val="center"/>
      </w:pPr>
      <w:r w:rsidRPr="00CF48A1">
        <w:t>F</w:t>
      </w:r>
      <w:r w:rsidR="006F7C9B" w:rsidRPr="00CF48A1">
        <w:t>igure</w:t>
      </w:r>
      <w:r w:rsidRPr="00CF48A1">
        <w:t xml:space="preserve"> 1</w:t>
      </w:r>
      <w:r w:rsidR="00152209" w:rsidRPr="00CF48A1">
        <w:t>0</w:t>
      </w:r>
      <w:r w:rsidR="006F7C9B" w:rsidRPr="00CF48A1">
        <w:t xml:space="preserve"> : Répartition selon la connaissance de la principale contre-indication des ISGLT2</w:t>
      </w:r>
    </w:p>
    <w:p w14:paraId="1E6728E8" w14:textId="77777777" w:rsidR="006F7C9B" w:rsidRPr="00CF48A1" w:rsidRDefault="006F7C9B" w:rsidP="009A5599">
      <w:pPr>
        <w:jc w:val="both"/>
      </w:pPr>
    </w:p>
    <w:p w14:paraId="76990885" w14:textId="77777777" w:rsidR="006F7C9B" w:rsidRPr="00CF48A1" w:rsidRDefault="006F7C9B" w:rsidP="00CD6749">
      <w:pPr>
        <w:spacing w:line="360" w:lineRule="auto"/>
        <w:jc w:val="both"/>
      </w:pPr>
      <w:r w:rsidRPr="00CF48A1">
        <w:t xml:space="preserve">Dans notre étude, </w:t>
      </w:r>
      <w:r w:rsidR="00CD6749" w:rsidRPr="00CF48A1">
        <w:t>la majorité</w:t>
      </w:r>
      <w:r w:rsidRPr="00CF48A1">
        <w:t xml:space="preserve"> des pharmaciens participants (n= 99, 67.3%) savent que l’insuffisance rénale aiguë est la principale contre-indication des inhibiteurs SGLT2</w:t>
      </w:r>
      <w:r w:rsidR="00E71EBB" w:rsidRPr="00CF48A1">
        <w:t>.</w:t>
      </w:r>
    </w:p>
    <w:p w14:paraId="7AA03B38" w14:textId="77777777" w:rsidR="0093199D" w:rsidRPr="00CF48A1" w:rsidRDefault="0093199D" w:rsidP="00CD6749">
      <w:pPr>
        <w:spacing w:line="360" w:lineRule="auto"/>
        <w:jc w:val="both"/>
      </w:pPr>
    </w:p>
    <w:p w14:paraId="3880E392" w14:textId="77777777" w:rsidR="0093199D" w:rsidRPr="00CF48A1" w:rsidRDefault="0093199D" w:rsidP="009A5599">
      <w:pPr>
        <w:jc w:val="both"/>
      </w:pPr>
    </w:p>
    <w:p w14:paraId="6AB3FB79" w14:textId="700CDCD6" w:rsidR="006F7C9B" w:rsidRPr="00CF48A1" w:rsidRDefault="006F7C9B" w:rsidP="009A5599">
      <w:pPr>
        <w:jc w:val="both"/>
      </w:pPr>
      <w:r w:rsidRPr="00CF48A1">
        <w:lastRenderedPageBreak/>
        <w:t>2.</w:t>
      </w:r>
      <w:r w:rsidR="00A97DE8" w:rsidRPr="00CF48A1">
        <w:t>8</w:t>
      </w:r>
      <w:r w:rsidR="00CD6749" w:rsidRPr="00CF48A1">
        <w:t xml:space="preserve">) </w:t>
      </w:r>
      <w:r w:rsidRPr="00CF48A1">
        <w:t xml:space="preserve">Les avantages des inhibiteurs SGLT2 </w:t>
      </w:r>
    </w:p>
    <w:p w14:paraId="15C351FD" w14:textId="77777777" w:rsidR="006F7C9B" w:rsidRPr="00CF48A1" w:rsidRDefault="006F7C9B" w:rsidP="009A5599">
      <w:pPr>
        <w:jc w:val="both"/>
      </w:pPr>
    </w:p>
    <w:p w14:paraId="183BA531" w14:textId="77777777" w:rsidR="006F7C9B" w:rsidRPr="00CF48A1" w:rsidRDefault="006F7C9B" w:rsidP="009A5599">
      <w:pPr>
        <w:jc w:val="both"/>
      </w:pPr>
    </w:p>
    <w:p w14:paraId="433D063E" w14:textId="77777777" w:rsidR="006F7C9B" w:rsidRPr="00CF48A1" w:rsidRDefault="006F7C9B" w:rsidP="00CD6749">
      <w:pPr>
        <w:jc w:val="center"/>
      </w:pPr>
      <w:r w:rsidRPr="00CF48A1">
        <w:rPr>
          <w:noProof/>
          <w:lang w:eastAsia="fr-FR"/>
        </w:rPr>
        <w:drawing>
          <wp:inline distT="0" distB="0" distL="0" distR="0" wp14:anchorId="29112DE8" wp14:editId="131AD422">
            <wp:extent cx="3333750" cy="2527956"/>
            <wp:effectExtent l="0" t="0" r="0" b="0"/>
            <wp:docPr id="41438817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65477" cy="2552014"/>
                    </a:xfrm>
                    <a:prstGeom prst="rect">
                      <a:avLst/>
                    </a:prstGeom>
                    <a:noFill/>
                    <a:ln>
                      <a:noFill/>
                    </a:ln>
                  </pic:spPr>
                </pic:pic>
              </a:graphicData>
            </a:graphic>
          </wp:inline>
        </w:drawing>
      </w:r>
    </w:p>
    <w:p w14:paraId="17255044" w14:textId="5AF33C13" w:rsidR="00287694" w:rsidRPr="00CF48A1" w:rsidRDefault="006F7C9B" w:rsidP="00CD6749">
      <w:pPr>
        <w:jc w:val="center"/>
      </w:pPr>
      <w:r w:rsidRPr="00CF48A1">
        <w:t>Figure</w:t>
      </w:r>
      <w:r w:rsidR="00CD6749" w:rsidRPr="00CF48A1">
        <w:t xml:space="preserve"> </w:t>
      </w:r>
      <w:r w:rsidR="00A97DE8" w:rsidRPr="00CF48A1">
        <w:t>1</w:t>
      </w:r>
      <w:r w:rsidR="00152209" w:rsidRPr="00CF48A1">
        <w:t>1</w:t>
      </w:r>
      <w:r w:rsidR="00CD6749" w:rsidRPr="00CF48A1">
        <w:t> :</w:t>
      </w:r>
      <w:r w:rsidRPr="00CF48A1">
        <w:t xml:space="preserve"> Répartition selon la connaissance des avantages des inhibiteurs SGLT2</w:t>
      </w:r>
    </w:p>
    <w:p w14:paraId="0D850F15" w14:textId="77777777" w:rsidR="00287694" w:rsidRPr="00CF48A1" w:rsidRDefault="00287694" w:rsidP="009A5599">
      <w:pPr>
        <w:jc w:val="both"/>
      </w:pPr>
    </w:p>
    <w:p w14:paraId="44A04BF4" w14:textId="2788D4EA" w:rsidR="00287694" w:rsidRPr="00CF48A1" w:rsidRDefault="00287694" w:rsidP="00CD6749">
      <w:pPr>
        <w:spacing w:line="360" w:lineRule="auto"/>
        <w:jc w:val="both"/>
      </w:pPr>
      <w:r w:rsidRPr="00CF48A1">
        <w:t>Dans notre étude, la plupart des pharmaciens participants (78.2%) connaissent les bienfaits cardio-rénaux de ces médicaments.</w:t>
      </w:r>
    </w:p>
    <w:p w14:paraId="548EB9BD" w14:textId="77777777" w:rsidR="00287694" w:rsidRPr="00CF48A1" w:rsidRDefault="00287694" w:rsidP="009A5599">
      <w:pPr>
        <w:jc w:val="both"/>
      </w:pPr>
    </w:p>
    <w:p w14:paraId="0278694C" w14:textId="52EFA6D8" w:rsidR="00287694" w:rsidRPr="00CF48A1" w:rsidRDefault="00287694" w:rsidP="009A5599">
      <w:pPr>
        <w:jc w:val="both"/>
      </w:pPr>
      <w:r w:rsidRPr="00CF48A1">
        <w:t>2.</w:t>
      </w:r>
      <w:r w:rsidR="00A97DE8" w:rsidRPr="00CF48A1">
        <w:t>9</w:t>
      </w:r>
      <w:r w:rsidR="00CD6749" w:rsidRPr="00CF48A1">
        <w:t xml:space="preserve">) </w:t>
      </w:r>
      <w:r w:rsidRPr="00CF48A1">
        <w:t xml:space="preserve">Les autres indications des inhibiteurs SGLT2 </w:t>
      </w:r>
    </w:p>
    <w:p w14:paraId="606C2FB8" w14:textId="77777777" w:rsidR="00287694" w:rsidRPr="00CF48A1" w:rsidRDefault="00287694" w:rsidP="009A5599">
      <w:pPr>
        <w:jc w:val="both"/>
      </w:pPr>
    </w:p>
    <w:p w14:paraId="19233806" w14:textId="77777777" w:rsidR="00287694" w:rsidRPr="00CF48A1" w:rsidRDefault="00287694" w:rsidP="009A5599">
      <w:pPr>
        <w:jc w:val="both"/>
      </w:pPr>
    </w:p>
    <w:p w14:paraId="7728EDFB" w14:textId="77777777" w:rsidR="00287694" w:rsidRPr="00CF48A1" w:rsidRDefault="00287694" w:rsidP="009A5599">
      <w:pPr>
        <w:jc w:val="both"/>
      </w:pPr>
    </w:p>
    <w:p w14:paraId="783EB209" w14:textId="77777777" w:rsidR="00287694" w:rsidRPr="00CF48A1" w:rsidRDefault="00287694" w:rsidP="00CD6749">
      <w:pPr>
        <w:jc w:val="center"/>
      </w:pPr>
      <w:r w:rsidRPr="00CF48A1">
        <w:rPr>
          <w:noProof/>
          <w:lang w:eastAsia="fr-FR"/>
        </w:rPr>
        <w:drawing>
          <wp:inline distT="0" distB="0" distL="0" distR="0" wp14:anchorId="0748CE55" wp14:editId="51EE251F">
            <wp:extent cx="3829050" cy="2749244"/>
            <wp:effectExtent l="0" t="0" r="0" b="0"/>
            <wp:docPr id="1374832414"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8766" cy="2763400"/>
                    </a:xfrm>
                    <a:prstGeom prst="rect">
                      <a:avLst/>
                    </a:prstGeom>
                    <a:noFill/>
                    <a:ln>
                      <a:noFill/>
                    </a:ln>
                  </pic:spPr>
                </pic:pic>
              </a:graphicData>
            </a:graphic>
          </wp:inline>
        </w:drawing>
      </w:r>
    </w:p>
    <w:p w14:paraId="18410D37" w14:textId="094C1A20" w:rsidR="00287694" w:rsidRPr="00CF48A1" w:rsidRDefault="00287694" w:rsidP="00CD6749">
      <w:pPr>
        <w:jc w:val="center"/>
      </w:pPr>
      <w:r w:rsidRPr="00CF48A1">
        <w:t>F</w:t>
      </w:r>
      <w:r w:rsidR="00CD6749" w:rsidRPr="00CF48A1">
        <w:t xml:space="preserve">igure </w:t>
      </w:r>
      <w:r w:rsidR="00A97DE8" w:rsidRPr="00CF48A1">
        <w:t>1</w:t>
      </w:r>
      <w:r w:rsidR="00152209" w:rsidRPr="00CF48A1">
        <w:t>2</w:t>
      </w:r>
      <w:r w:rsidRPr="00CF48A1">
        <w:t xml:space="preserve"> : Répartition selon la connaissance des indications des I-SGLT2</w:t>
      </w:r>
    </w:p>
    <w:p w14:paraId="50586E21" w14:textId="77777777" w:rsidR="000C39AE" w:rsidRPr="00CF48A1" w:rsidRDefault="000C39AE" w:rsidP="00CD6749">
      <w:pPr>
        <w:jc w:val="center"/>
      </w:pPr>
    </w:p>
    <w:p w14:paraId="12A4B9E5" w14:textId="0948FA41" w:rsidR="00287694" w:rsidRPr="00CF48A1" w:rsidRDefault="00CD6749" w:rsidP="00CD6749">
      <w:pPr>
        <w:spacing w:line="360" w:lineRule="auto"/>
        <w:jc w:val="both"/>
      </w:pPr>
      <w:r w:rsidRPr="00CF48A1">
        <w:t>La</w:t>
      </w:r>
      <w:r w:rsidR="00287694" w:rsidRPr="00CF48A1">
        <w:t xml:space="preserve"> majorité des pharmaciens</w:t>
      </w:r>
      <w:r w:rsidR="00371585" w:rsidRPr="00CF48A1">
        <w:t xml:space="preserve"> </w:t>
      </w:r>
      <w:r w:rsidR="00287694" w:rsidRPr="00CF48A1">
        <w:t>connaissent les indications des inhibiteurs SGLT2 pour l’insuffisance cardiaque et la maladie rénale chronique</w:t>
      </w:r>
    </w:p>
    <w:p w14:paraId="547C4189" w14:textId="77777777" w:rsidR="00287694" w:rsidRPr="00CF48A1" w:rsidRDefault="00287694" w:rsidP="009A5599">
      <w:pPr>
        <w:jc w:val="both"/>
      </w:pPr>
    </w:p>
    <w:p w14:paraId="4AEAD799" w14:textId="77777777" w:rsidR="0093199D" w:rsidRPr="00CF48A1" w:rsidRDefault="0093199D" w:rsidP="009A5599">
      <w:pPr>
        <w:jc w:val="both"/>
      </w:pPr>
    </w:p>
    <w:p w14:paraId="6353D470" w14:textId="77777777" w:rsidR="0093199D" w:rsidRPr="00CF48A1" w:rsidRDefault="0093199D" w:rsidP="009A5599">
      <w:pPr>
        <w:jc w:val="both"/>
      </w:pPr>
    </w:p>
    <w:p w14:paraId="3DEAF937" w14:textId="198FB3B7" w:rsidR="00CD6749" w:rsidRPr="00CF48A1" w:rsidRDefault="00287694" w:rsidP="008F6AC3">
      <w:pPr>
        <w:jc w:val="both"/>
      </w:pPr>
      <w:r w:rsidRPr="00CF48A1">
        <w:t>2.1</w:t>
      </w:r>
      <w:r w:rsidR="00A97DE8" w:rsidRPr="00CF48A1">
        <w:t>0</w:t>
      </w:r>
      <w:r w:rsidR="00CD6749" w:rsidRPr="00CF48A1">
        <w:t xml:space="preserve">) </w:t>
      </w:r>
      <w:r w:rsidRPr="00CF48A1">
        <w:t xml:space="preserve">Résultats du score de niveau de connaissance </w:t>
      </w:r>
    </w:p>
    <w:p w14:paraId="7A6781A7" w14:textId="77777777" w:rsidR="00CD6749" w:rsidRPr="00CF48A1" w:rsidRDefault="00CD6749" w:rsidP="00CD6749">
      <w:pPr>
        <w:jc w:val="center"/>
      </w:pPr>
    </w:p>
    <w:p w14:paraId="6FE5D93A" w14:textId="4FB54DBA" w:rsidR="00287694" w:rsidRPr="00CF48A1" w:rsidRDefault="00287694" w:rsidP="00CD6749">
      <w:pPr>
        <w:jc w:val="center"/>
      </w:pPr>
      <w:r w:rsidRPr="00CF48A1">
        <w:t xml:space="preserve">Tableau </w:t>
      </w:r>
      <w:r w:rsidR="00A97DE8" w:rsidRPr="00CF48A1">
        <w:t>3</w:t>
      </w:r>
      <w:r w:rsidRPr="00CF48A1">
        <w:t xml:space="preserve"> : Résultats du score de niveau de connaissance</w:t>
      </w:r>
    </w:p>
    <w:tbl>
      <w:tblPr>
        <w:tblW w:w="9173" w:type="dxa"/>
        <w:tblInd w:w="75" w:type="dxa"/>
        <w:tblCellMar>
          <w:left w:w="70" w:type="dxa"/>
          <w:right w:w="70" w:type="dxa"/>
        </w:tblCellMar>
        <w:tblLook w:val="04A0" w:firstRow="1" w:lastRow="0" w:firstColumn="1" w:lastColumn="0" w:noHBand="0" w:noVBand="1"/>
      </w:tblPr>
      <w:tblGrid>
        <w:gridCol w:w="2714"/>
        <w:gridCol w:w="2243"/>
        <w:gridCol w:w="2108"/>
        <w:gridCol w:w="2108"/>
      </w:tblGrid>
      <w:tr w:rsidR="00287694" w:rsidRPr="00CF48A1" w14:paraId="2A4DB963" w14:textId="77777777" w:rsidTr="000C39AE">
        <w:trPr>
          <w:trHeight w:val="949"/>
        </w:trPr>
        <w:tc>
          <w:tcPr>
            <w:tcW w:w="2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B861F" w14:textId="77777777" w:rsidR="00287694" w:rsidRPr="00CF48A1" w:rsidRDefault="00287694" w:rsidP="00287694">
            <w:pPr>
              <w:jc w:val="center"/>
              <w:rPr>
                <w:rFonts w:eastAsia="Times New Roman"/>
                <w:color w:val="000000"/>
                <w:lang w:eastAsia="fr-FR"/>
              </w:rPr>
            </w:pPr>
            <w:r w:rsidRPr="00CF48A1">
              <w:rPr>
                <w:rFonts w:eastAsia="Times New Roman"/>
                <w:color w:val="000000"/>
                <w:lang w:eastAsia="fr-FR"/>
              </w:rPr>
              <w:t>Niveau de connaissance</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1DE53D70" w14:textId="77777777" w:rsidR="00287694" w:rsidRPr="00CF48A1" w:rsidRDefault="00287694" w:rsidP="00287694">
            <w:pPr>
              <w:jc w:val="center"/>
              <w:rPr>
                <w:rFonts w:eastAsia="Times New Roman"/>
                <w:color w:val="000000"/>
                <w:lang w:eastAsia="fr-FR"/>
              </w:rPr>
            </w:pPr>
            <w:r w:rsidRPr="00CF48A1">
              <w:rPr>
                <w:rFonts w:eastAsia="Times New Roman"/>
                <w:color w:val="000000"/>
                <w:lang w:eastAsia="fr-FR"/>
              </w:rPr>
              <w:t>Excellente connaissance</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14:paraId="7E72B3EC" w14:textId="77777777" w:rsidR="00287694" w:rsidRPr="00CF48A1" w:rsidRDefault="00287694" w:rsidP="00287694">
            <w:pPr>
              <w:jc w:val="center"/>
              <w:rPr>
                <w:rFonts w:eastAsia="Times New Roman"/>
                <w:color w:val="000000"/>
                <w:lang w:eastAsia="fr-FR"/>
              </w:rPr>
            </w:pPr>
            <w:r w:rsidRPr="00CF48A1">
              <w:rPr>
                <w:rFonts w:eastAsia="Times New Roman"/>
                <w:color w:val="000000"/>
                <w:lang w:eastAsia="fr-FR"/>
              </w:rPr>
              <w:t>Bonne connaissance</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14:paraId="116D5475" w14:textId="77777777" w:rsidR="00287694" w:rsidRPr="00CF48A1" w:rsidRDefault="00287694" w:rsidP="00287694">
            <w:pPr>
              <w:jc w:val="center"/>
              <w:rPr>
                <w:rFonts w:eastAsia="Times New Roman"/>
                <w:color w:val="000000"/>
                <w:lang w:eastAsia="fr-FR"/>
              </w:rPr>
            </w:pPr>
            <w:r w:rsidRPr="00CF48A1">
              <w:rPr>
                <w:rFonts w:eastAsia="Times New Roman"/>
                <w:color w:val="000000"/>
                <w:lang w:eastAsia="fr-FR"/>
              </w:rPr>
              <w:t>Mauvaise</w:t>
            </w:r>
            <w:r w:rsidRPr="00CF48A1">
              <w:rPr>
                <w:rFonts w:eastAsia="Times New Roman"/>
                <w:color w:val="000000"/>
                <w:lang w:eastAsia="fr-FR"/>
              </w:rPr>
              <w:br/>
              <w:t>connaissance</w:t>
            </w:r>
          </w:p>
        </w:tc>
      </w:tr>
      <w:tr w:rsidR="00287694" w:rsidRPr="00CF48A1" w14:paraId="78387CE7" w14:textId="77777777" w:rsidTr="000C39AE">
        <w:trPr>
          <w:trHeight w:val="333"/>
        </w:trPr>
        <w:tc>
          <w:tcPr>
            <w:tcW w:w="2714" w:type="dxa"/>
            <w:tcBorders>
              <w:top w:val="nil"/>
              <w:left w:val="single" w:sz="4" w:space="0" w:color="auto"/>
              <w:bottom w:val="single" w:sz="4" w:space="0" w:color="auto"/>
              <w:right w:val="single" w:sz="4" w:space="0" w:color="auto"/>
            </w:tcBorders>
            <w:shd w:val="clear" w:color="auto" w:fill="auto"/>
            <w:vAlign w:val="center"/>
            <w:hideMark/>
          </w:tcPr>
          <w:p w14:paraId="02CDDD3D" w14:textId="77777777" w:rsidR="00287694" w:rsidRPr="00CF48A1" w:rsidRDefault="00287694" w:rsidP="00287694">
            <w:pPr>
              <w:jc w:val="center"/>
              <w:rPr>
                <w:rFonts w:eastAsia="Times New Roman"/>
                <w:b/>
                <w:bCs/>
                <w:color w:val="000000"/>
                <w:lang w:eastAsia="fr-FR"/>
              </w:rPr>
            </w:pPr>
            <w:r w:rsidRPr="00CF48A1">
              <w:rPr>
                <w:rFonts w:eastAsia="Times New Roman"/>
                <w:b/>
                <w:bCs/>
                <w:color w:val="000000"/>
                <w:lang w:eastAsia="fr-FR"/>
              </w:rPr>
              <w:t>Effectifs</w:t>
            </w:r>
          </w:p>
        </w:tc>
        <w:tc>
          <w:tcPr>
            <w:tcW w:w="2243" w:type="dxa"/>
            <w:tcBorders>
              <w:top w:val="nil"/>
              <w:left w:val="nil"/>
              <w:bottom w:val="single" w:sz="4" w:space="0" w:color="auto"/>
              <w:right w:val="single" w:sz="4" w:space="0" w:color="auto"/>
            </w:tcBorders>
            <w:shd w:val="clear" w:color="auto" w:fill="auto"/>
            <w:vAlign w:val="center"/>
            <w:hideMark/>
          </w:tcPr>
          <w:p w14:paraId="2EAD3192" w14:textId="77777777" w:rsidR="00287694" w:rsidRPr="00CF48A1" w:rsidRDefault="00287694" w:rsidP="00287694">
            <w:pPr>
              <w:jc w:val="center"/>
              <w:rPr>
                <w:rFonts w:eastAsia="Times New Roman"/>
                <w:color w:val="000000"/>
                <w:lang w:eastAsia="fr-FR"/>
              </w:rPr>
            </w:pPr>
            <w:r w:rsidRPr="00CF48A1">
              <w:rPr>
                <w:rFonts w:eastAsia="Times New Roman"/>
                <w:color w:val="000000"/>
                <w:lang w:eastAsia="fr-FR"/>
              </w:rPr>
              <w:t>19</w:t>
            </w:r>
          </w:p>
        </w:tc>
        <w:tc>
          <w:tcPr>
            <w:tcW w:w="2108" w:type="dxa"/>
            <w:tcBorders>
              <w:top w:val="nil"/>
              <w:left w:val="nil"/>
              <w:bottom w:val="single" w:sz="4" w:space="0" w:color="auto"/>
              <w:right w:val="single" w:sz="4" w:space="0" w:color="auto"/>
            </w:tcBorders>
            <w:shd w:val="clear" w:color="auto" w:fill="auto"/>
            <w:vAlign w:val="center"/>
            <w:hideMark/>
          </w:tcPr>
          <w:p w14:paraId="455381A9" w14:textId="77777777" w:rsidR="00287694" w:rsidRPr="00CF48A1" w:rsidRDefault="00287694" w:rsidP="00287694">
            <w:pPr>
              <w:jc w:val="center"/>
              <w:rPr>
                <w:rFonts w:eastAsia="Times New Roman"/>
                <w:color w:val="000000"/>
                <w:lang w:eastAsia="fr-FR"/>
              </w:rPr>
            </w:pPr>
            <w:r w:rsidRPr="00CF48A1">
              <w:rPr>
                <w:rFonts w:eastAsia="Times New Roman"/>
                <w:color w:val="000000"/>
                <w:lang w:eastAsia="fr-FR"/>
              </w:rPr>
              <w:t>108</w:t>
            </w:r>
          </w:p>
        </w:tc>
        <w:tc>
          <w:tcPr>
            <w:tcW w:w="2108" w:type="dxa"/>
            <w:tcBorders>
              <w:top w:val="nil"/>
              <w:left w:val="nil"/>
              <w:bottom w:val="single" w:sz="4" w:space="0" w:color="auto"/>
              <w:right w:val="single" w:sz="4" w:space="0" w:color="auto"/>
            </w:tcBorders>
            <w:shd w:val="clear" w:color="auto" w:fill="auto"/>
            <w:vAlign w:val="center"/>
            <w:hideMark/>
          </w:tcPr>
          <w:p w14:paraId="2FA21626" w14:textId="77777777" w:rsidR="00287694" w:rsidRPr="00CF48A1" w:rsidRDefault="00287694" w:rsidP="00287694">
            <w:pPr>
              <w:jc w:val="center"/>
              <w:rPr>
                <w:rFonts w:eastAsia="Times New Roman"/>
                <w:color w:val="000000"/>
                <w:lang w:eastAsia="fr-FR"/>
              </w:rPr>
            </w:pPr>
            <w:r w:rsidRPr="00CF48A1">
              <w:rPr>
                <w:rFonts w:eastAsia="Times New Roman"/>
                <w:color w:val="000000"/>
                <w:lang w:eastAsia="fr-FR"/>
              </w:rPr>
              <w:t>20</w:t>
            </w:r>
          </w:p>
        </w:tc>
      </w:tr>
      <w:tr w:rsidR="00287694" w:rsidRPr="00CF48A1" w14:paraId="0E0620AB" w14:textId="77777777" w:rsidTr="000C39AE">
        <w:trPr>
          <w:trHeight w:val="316"/>
        </w:trPr>
        <w:tc>
          <w:tcPr>
            <w:tcW w:w="2714" w:type="dxa"/>
            <w:tcBorders>
              <w:top w:val="nil"/>
              <w:left w:val="single" w:sz="4" w:space="0" w:color="auto"/>
              <w:bottom w:val="single" w:sz="4" w:space="0" w:color="auto"/>
              <w:right w:val="single" w:sz="4" w:space="0" w:color="auto"/>
            </w:tcBorders>
            <w:shd w:val="clear" w:color="auto" w:fill="auto"/>
            <w:vAlign w:val="center"/>
            <w:hideMark/>
          </w:tcPr>
          <w:p w14:paraId="2A1CA69A" w14:textId="77777777" w:rsidR="00287694" w:rsidRPr="00CF48A1" w:rsidRDefault="00287694" w:rsidP="00287694">
            <w:pPr>
              <w:jc w:val="center"/>
              <w:rPr>
                <w:rFonts w:eastAsia="Times New Roman"/>
                <w:b/>
                <w:bCs/>
                <w:color w:val="000000"/>
                <w:lang w:eastAsia="fr-FR"/>
              </w:rPr>
            </w:pPr>
            <w:r w:rsidRPr="00CF48A1">
              <w:rPr>
                <w:rFonts w:eastAsia="Times New Roman"/>
                <w:b/>
                <w:bCs/>
                <w:color w:val="000000"/>
                <w:lang w:eastAsia="fr-FR"/>
              </w:rPr>
              <w:t xml:space="preserve">Pourcentage   </w:t>
            </w:r>
          </w:p>
        </w:tc>
        <w:tc>
          <w:tcPr>
            <w:tcW w:w="2243" w:type="dxa"/>
            <w:tcBorders>
              <w:top w:val="nil"/>
              <w:left w:val="nil"/>
              <w:bottom w:val="single" w:sz="4" w:space="0" w:color="auto"/>
              <w:right w:val="single" w:sz="4" w:space="0" w:color="auto"/>
            </w:tcBorders>
            <w:shd w:val="clear" w:color="auto" w:fill="auto"/>
            <w:vAlign w:val="center"/>
            <w:hideMark/>
          </w:tcPr>
          <w:p w14:paraId="28301F03" w14:textId="77777777" w:rsidR="00287694" w:rsidRPr="00CF48A1" w:rsidRDefault="00287694" w:rsidP="00287694">
            <w:pPr>
              <w:jc w:val="center"/>
              <w:rPr>
                <w:rFonts w:eastAsia="Times New Roman"/>
                <w:b/>
                <w:bCs/>
                <w:color w:val="000000"/>
                <w:lang w:eastAsia="fr-FR"/>
              </w:rPr>
            </w:pPr>
            <w:r w:rsidRPr="00CF48A1">
              <w:rPr>
                <w:rFonts w:eastAsia="Times New Roman"/>
                <w:b/>
                <w:bCs/>
                <w:color w:val="000000"/>
                <w:lang w:eastAsia="fr-FR"/>
              </w:rPr>
              <w:t>12.9%</w:t>
            </w:r>
          </w:p>
        </w:tc>
        <w:tc>
          <w:tcPr>
            <w:tcW w:w="2108" w:type="dxa"/>
            <w:tcBorders>
              <w:top w:val="nil"/>
              <w:left w:val="nil"/>
              <w:bottom w:val="single" w:sz="4" w:space="0" w:color="auto"/>
              <w:right w:val="single" w:sz="4" w:space="0" w:color="auto"/>
            </w:tcBorders>
            <w:shd w:val="clear" w:color="auto" w:fill="auto"/>
            <w:vAlign w:val="center"/>
            <w:hideMark/>
          </w:tcPr>
          <w:p w14:paraId="5922915A" w14:textId="77777777" w:rsidR="00287694" w:rsidRPr="00CF48A1" w:rsidRDefault="00287694" w:rsidP="00287694">
            <w:pPr>
              <w:jc w:val="center"/>
              <w:rPr>
                <w:rFonts w:eastAsia="Times New Roman"/>
                <w:b/>
                <w:bCs/>
                <w:color w:val="000000"/>
                <w:lang w:eastAsia="fr-FR"/>
              </w:rPr>
            </w:pPr>
            <w:r w:rsidRPr="00CF48A1">
              <w:rPr>
                <w:rFonts w:eastAsia="Times New Roman"/>
                <w:b/>
                <w:bCs/>
                <w:color w:val="000000"/>
                <w:lang w:eastAsia="fr-FR"/>
              </w:rPr>
              <w:t>73.5%</w:t>
            </w:r>
          </w:p>
        </w:tc>
        <w:tc>
          <w:tcPr>
            <w:tcW w:w="2108" w:type="dxa"/>
            <w:tcBorders>
              <w:top w:val="nil"/>
              <w:left w:val="nil"/>
              <w:bottom w:val="single" w:sz="4" w:space="0" w:color="auto"/>
              <w:right w:val="single" w:sz="4" w:space="0" w:color="auto"/>
            </w:tcBorders>
            <w:shd w:val="clear" w:color="auto" w:fill="auto"/>
            <w:vAlign w:val="center"/>
            <w:hideMark/>
          </w:tcPr>
          <w:p w14:paraId="1E2F0CAE" w14:textId="77777777" w:rsidR="00287694" w:rsidRPr="00CF48A1" w:rsidRDefault="00287694" w:rsidP="00287694">
            <w:pPr>
              <w:jc w:val="center"/>
              <w:rPr>
                <w:rFonts w:eastAsia="Times New Roman"/>
                <w:b/>
                <w:bCs/>
                <w:color w:val="000000"/>
                <w:lang w:eastAsia="fr-FR"/>
              </w:rPr>
            </w:pPr>
            <w:r w:rsidRPr="00CF48A1">
              <w:rPr>
                <w:rFonts w:eastAsia="Times New Roman"/>
                <w:b/>
                <w:bCs/>
                <w:color w:val="000000"/>
                <w:lang w:eastAsia="fr-FR"/>
              </w:rPr>
              <w:t>13.6%</w:t>
            </w:r>
          </w:p>
        </w:tc>
      </w:tr>
    </w:tbl>
    <w:p w14:paraId="1C1FEF1B" w14:textId="77777777" w:rsidR="00CD6749" w:rsidRPr="00CF48A1" w:rsidRDefault="00CD6749" w:rsidP="009A5599">
      <w:pPr>
        <w:jc w:val="both"/>
      </w:pPr>
    </w:p>
    <w:p w14:paraId="10248E04" w14:textId="00B72778" w:rsidR="00CD6749" w:rsidRPr="00CF48A1" w:rsidRDefault="00287694" w:rsidP="00CD6749">
      <w:pPr>
        <w:spacing w:line="360" w:lineRule="auto"/>
        <w:jc w:val="both"/>
      </w:pPr>
      <w:r w:rsidRPr="00CF48A1">
        <w:t xml:space="preserve">Dans notre étude le score moyen de connaissance est 6.36 écart-type </w:t>
      </w:r>
      <w:r w:rsidR="00E71EBB" w:rsidRPr="00CF48A1">
        <w:t>3.01 avec un intervalle de 1-12</w:t>
      </w:r>
      <w:r w:rsidR="00CD6749" w:rsidRPr="00CF48A1">
        <w:t>,</w:t>
      </w:r>
      <w:r w:rsidR="00E71EBB" w:rsidRPr="00CF48A1">
        <w:t xml:space="preserve"> </w:t>
      </w:r>
      <w:r w:rsidR="00CD6749" w:rsidRPr="00CF48A1">
        <w:t>ce</w:t>
      </w:r>
      <w:r w:rsidR="00E71EBB" w:rsidRPr="00CF48A1">
        <w:t xml:space="preserve"> </w:t>
      </w:r>
      <w:r w:rsidRPr="00CF48A1">
        <w:t>qui indique que la plupart des pharmaciens de notre étude</w:t>
      </w:r>
      <w:r w:rsidR="000C39AE" w:rsidRPr="00CF48A1">
        <w:t xml:space="preserve"> (86.4%)</w:t>
      </w:r>
      <w:r w:rsidRPr="00CF48A1">
        <w:t xml:space="preserve"> ont des bonnes connaissances.</w:t>
      </w:r>
    </w:p>
    <w:p w14:paraId="6568F390" w14:textId="77777777" w:rsidR="00CD6749" w:rsidRPr="00CF48A1" w:rsidRDefault="00CD6749" w:rsidP="00CD6749">
      <w:pPr>
        <w:spacing w:line="360" w:lineRule="auto"/>
        <w:jc w:val="both"/>
      </w:pPr>
    </w:p>
    <w:p w14:paraId="0654B96D" w14:textId="29C73D9D" w:rsidR="00287694" w:rsidRPr="00CF48A1" w:rsidRDefault="00287694" w:rsidP="00CD6749">
      <w:pPr>
        <w:spacing w:line="360" w:lineRule="auto"/>
        <w:jc w:val="both"/>
        <w:rPr>
          <w:i/>
          <w:iCs/>
          <w:u w:val="single"/>
        </w:rPr>
      </w:pPr>
      <w:r w:rsidRPr="00CF48A1">
        <w:rPr>
          <w:i/>
          <w:iCs/>
          <w:u w:val="single"/>
        </w:rPr>
        <w:t>3</w:t>
      </w:r>
      <w:r w:rsidR="00CD6749" w:rsidRPr="00CF48A1">
        <w:rPr>
          <w:i/>
          <w:iCs/>
          <w:u w:val="single"/>
        </w:rPr>
        <w:t>)</w:t>
      </w:r>
      <w:r w:rsidR="00E71EBB" w:rsidRPr="00CF48A1">
        <w:rPr>
          <w:i/>
          <w:iCs/>
          <w:u w:val="single"/>
        </w:rPr>
        <w:t xml:space="preserve"> </w:t>
      </w:r>
      <w:r w:rsidR="00371585" w:rsidRPr="00CF48A1">
        <w:rPr>
          <w:i/>
          <w:iCs/>
          <w:u w:val="single"/>
        </w:rPr>
        <w:t xml:space="preserve">La troisième partie du questionnaire : </w:t>
      </w:r>
      <w:r w:rsidRPr="00CF48A1">
        <w:rPr>
          <w:i/>
          <w:iCs/>
          <w:u w:val="single"/>
        </w:rPr>
        <w:t>Pratique et Perceptions des P</w:t>
      </w:r>
      <w:r w:rsidR="00E71EBB" w:rsidRPr="00CF48A1">
        <w:rPr>
          <w:i/>
          <w:iCs/>
          <w:u w:val="single"/>
        </w:rPr>
        <w:t>harmaciens d’Officine à propos d</w:t>
      </w:r>
      <w:r w:rsidRPr="00CF48A1">
        <w:rPr>
          <w:i/>
          <w:iCs/>
          <w:u w:val="single"/>
        </w:rPr>
        <w:t xml:space="preserve">es Inhibiteurs du SGLT2 </w:t>
      </w:r>
    </w:p>
    <w:p w14:paraId="740B884F" w14:textId="77777777" w:rsidR="00371585" w:rsidRPr="00CF48A1" w:rsidRDefault="00371585" w:rsidP="0093199D"/>
    <w:p w14:paraId="3D9036A5" w14:textId="3C1613C7" w:rsidR="00371585" w:rsidRPr="00CF48A1" w:rsidRDefault="00371585" w:rsidP="00371585">
      <w:pPr>
        <w:jc w:val="center"/>
      </w:pPr>
      <w:r w:rsidRPr="00CF48A1">
        <w:t xml:space="preserve">Tableau 4 : Répartition des participants selon leur </w:t>
      </w:r>
      <w:r w:rsidR="000C39AE" w:rsidRPr="00CF48A1">
        <w:t>p</w:t>
      </w:r>
      <w:r w:rsidRPr="00CF48A1">
        <w:t xml:space="preserve">ratique et </w:t>
      </w:r>
      <w:r w:rsidR="000C39AE" w:rsidRPr="00CF48A1">
        <w:t>p</w:t>
      </w:r>
      <w:r w:rsidRPr="00CF48A1">
        <w:t xml:space="preserve">erceptions à propos des Inhibiteurs du SGLT2 </w:t>
      </w:r>
    </w:p>
    <w:tbl>
      <w:tblPr>
        <w:tblW w:w="98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4"/>
        <w:gridCol w:w="1522"/>
        <w:gridCol w:w="1963"/>
      </w:tblGrid>
      <w:tr w:rsidR="00371585" w:rsidRPr="00CF48A1" w14:paraId="0B5A36ED" w14:textId="77777777" w:rsidTr="00371585">
        <w:trPr>
          <w:trHeight w:val="591"/>
        </w:trPr>
        <w:tc>
          <w:tcPr>
            <w:tcW w:w="6384" w:type="dxa"/>
            <w:shd w:val="clear" w:color="auto" w:fill="auto"/>
            <w:vAlign w:val="center"/>
            <w:hideMark/>
          </w:tcPr>
          <w:p w14:paraId="2AA3FE62"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 xml:space="preserve">Pratique et perceptions à propos des Inhibiteurs du SGLT2 </w:t>
            </w:r>
          </w:p>
        </w:tc>
        <w:tc>
          <w:tcPr>
            <w:tcW w:w="1522" w:type="dxa"/>
            <w:shd w:val="clear" w:color="auto" w:fill="auto"/>
            <w:vAlign w:val="center"/>
            <w:hideMark/>
          </w:tcPr>
          <w:p w14:paraId="7062B5F6"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 xml:space="preserve">Effectif </w:t>
            </w:r>
          </w:p>
        </w:tc>
        <w:tc>
          <w:tcPr>
            <w:tcW w:w="1962" w:type="dxa"/>
            <w:shd w:val="clear" w:color="auto" w:fill="auto"/>
            <w:vAlign w:val="center"/>
            <w:hideMark/>
          </w:tcPr>
          <w:p w14:paraId="15EB9FB2"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Pourcentage</w:t>
            </w:r>
          </w:p>
        </w:tc>
      </w:tr>
      <w:tr w:rsidR="00371585" w:rsidRPr="00CF48A1" w14:paraId="7004EB46" w14:textId="77777777" w:rsidTr="00371585">
        <w:trPr>
          <w:trHeight w:val="325"/>
        </w:trPr>
        <w:tc>
          <w:tcPr>
            <w:tcW w:w="9869" w:type="dxa"/>
            <w:gridSpan w:val="3"/>
            <w:shd w:val="clear" w:color="auto" w:fill="auto"/>
            <w:vAlign w:val="center"/>
            <w:hideMark/>
          </w:tcPr>
          <w:p w14:paraId="1EF9CB9C" w14:textId="77777777" w:rsidR="00371585" w:rsidRPr="00CF48A1" w:rsidRDefault="00371585" w:rsidP="00371585">
            <w:pPr>
              <w:jc w:val="center"/>
              <w:rPr>
                <w:rFonts w:eastAsia="Times New Roman"/>
                <w:b/>
                <w:bCs/>
                <w:color w:val="000000"/>
                <w:lang w:eastAsia="fr-FR"/>
              </w:rPr>
            </w:pPr>
            <w:r w:rsidRPr="00CF48A1">
              <w:rPr>
                <w:rFonts w:eastAsia="Times New Roman"/>
                <w:b/>
                <w:bCs/>
                <w:color w:val="000000"/>
                <w:lang w:eastAsia="fr-FR"/>
              </w:rPr>
              <w:t xml:space="preserve">Les perceptions des pharmaciens </w:t>
            </w:r>
          </w:p>
        </w:tc>
      </w:tr>
      <w:tr w:rsidR="00371585" w:rsidRPr="00CF48A1" w14:paraId="6347DF89" w14:textId="77777777" w:rsidTr="00371585">
        <w:trPr>
          <w:trHeight w:val="361"/>
        </w:trPr>
        <w:tc>
          <w:tcPr>
            <w:tcW w:w="6384" w:type="dxa"/>
            <w:shd w:val="clear" w:color="auto" w:fill="auto"/>
            <w:vAlign w:val="center"/>
            <w:hideMark/>
          </w:tcPr>
          <w:p w14:paraId="07C2C0D6"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Aucun avantage</w:t>
            </w:r>
          </w:p>
        </w:tc>
        <w:tc>
          <w:tcPr>
            <w:tcW w:w="1522" w:type="dxa"/>
            <w:shd w:val="clear" w:color="auto" w:fill="auto"/>
            <w:vAlign w:val="center"/>
            <w:hideMark/>
          </w:tcPr>
          <w:p w14:paraId="556C9481"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23</w:t>
            </w:r>
          </w:p>
        </w:tc>
        <w:tc>
          <w:tcPr>
            <w:tcW w:w="1962" w:type="dxa"/>
            <w:shd w:val="clear" w:color="auto" w:fill="auto"/>
            <w:vAlign w:val="center"/>
            <w:hideMark/>
          </w:tcPr>
          <w:p w14:paraId="4189ECA2"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15.6%</w:t>
            </w:r>
          </w:p>
        </w:tc>
      </w:tr>
      <w:tr w:rsidR="00371585" w:rsidRPr="00CF48A1" w14:paraId="1A4AAA3A" w14:textId="77777777" w:rsidTr="00371585">
        <w:trPr>
          <w:trHeight w:val="361"/>
        </w:trPr>
        <w:tc>
          <w:tcPr>
            <w:tcW w:w="6384" w:type="dxa"/>
            <w:shd w:val="clear" w:color="auto" w:fill="auto"/>
            <w:vAlign w:val="center"/>
            <w:hideMark/>
          </w:tcPr>
          <w:p w14:paraId="57577F0F"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Avantage modeste</w:t>
            </w:r>
          </w:p>
        </w:tc>
        <w:tc>
          <w:tcPr>
            <w:tcW w:w="1522" w:type="dxa"/>
            <w:shd w:val="clear" w:color="auto" w:fill="auto"/>
            <w:vAlign w:val="center"/>
            <w:hideMark/>
          </w:tcPr>
          <w:p w14:paraId="52B238B1"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24</w:t>
            </w:r>
          </w:p>
        </w:tc>
        <w:tc>
          <w:tcPr>
            <w:tcW w:w="1962" w:type="dxa"/>
            <w:shd w:val="clear" w:color="auto" w:fill="auto"/>
            <w:vAlign w:val="center"/>
            <w:hideMark/>
          </w:tcPr>
          <w:p w14:paraId="1A35BAC4"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16.4%</w:t>
            </w:r>
          </w:p>
        </w:tc>
      </w:tr>
      <w:tr w:rsidR="00371585" w:rsidRPr="00CF48A1" w14:paraId="46C5040F" w14:textId="77777777" w:rsidTr="00371585">
        <w:trPr>
          <w:trHeight w:val="361"/>
        </w:trPr>
        <w:tc>
          <w:tcPr>
            <w:tcW w:w="6384" w:type="dxa"/>
            <w:shd w:val="clear" w:color="auto" w:fill="auto"/>
            <w:vAlign w:val="center"/>
            <w:hideMark/>
          </w:tcPr>
          <w:p w14:paraId="3D712F50"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Très efficace chez un groupe des patients</w:t>
            </w:r>
          </w:p>
        </w:tc>
        <w:tc>
          <w:tcPr>
            <w:tcW w:w="1522" w:type="dxa"/>
            <w:shd w:val="clear" w:color="auto" w:fill="auto"/>
            <w:vAlign w:val="center"/>
            <w:hideMark/>
          </w:tcPr>
          <w:p w14:paraId="3A30EB67"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77</w:t>
            </w:r>
          </w:p>
        </w:tc>
        <w:tc>
          <w:tcPr>
            <w:tcW w:w="1962" w:type="dxa"/>
            <w:shd w:val="clear" w:color="auto" w:fill="auto"/>
            <w:vAlign w:val="center"/>
            <w:hideMark/>
          </w:tcPr>
          <w:p w14:paraId="01C39202"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 xml:space="preserve"> 52.4%</w:t>
            </w:r>
          </w:p>
        </w:tc>
      </w:tr>
      <w:tr w:rsidR="00371585" w:rsidRPr="00CF48A1" w14:paraId="0DB88F55" w14:textId="77777777" w:rsidTr="00371585">
        <w:trPr>
          <w:trHeight w:val="361"/>
        </w:trPr>
        <w:tc>
          <w:tcPr>
            <w:tcW w:w="6384" w:type="dxa"/>
            <w:shd w:val="clear" w:color="auto" w:fill="auto"/>
            <w:vAlign w:val="center"/>
            <w:hideMark/>
          </w:tcPr>
          <w:p w14:paraId="0F39892C"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Molécules chère et sans bénéfice</w:t>
            </w:r>
          </w:p>
        </w:tc>
        <w:tc>
          <w:tcPr>
            <w:tcW w:w="1522" w:type="dxa"/>
            <w:shd w:val="clear" w:color="auto" w:fill="auto"/>
            <w:vAlign w:val="center"/>
            <w:hideMark/>
          </w:tcPr>
          <w:p w14:paraId="2D501FAC"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23</w:t>
            </w:r>
          </w:p>
        </w:tc>
        <w:tc>
          <w:tcPr>
            <w:tcW w:w="1962" w:type="dxa"/>
            <w:shd w:val="clear" w:color="auto" w:fill="auto"/>
            <w:vAlign w:val="center"/>
            <w:hideMark/>
          </w:tcPr>
          <w:p w14:paraId="75DBD648"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15.6%</w:t>
            </w:r>
          </w:p>
        </w:tc>
      </w:tr>
      <w:tr w:rsidR="00371585" w:rsidRPr="00CF48A1" w14:paraId="709C00F0" w14:textId="77777777" w:rsidTr="00371585">
        <w:trPr>
          <w:trHeight w:val="325"/>
        </w:trPr>
        <w:tc>
          <w:tcPr>
            <w:tcW w:w="9869" w:type="dxa"/>
            <w:gridSpan w:val="3"/>
            <w:shd w:val="clear" w:color="auto" w:fill="auto"/>
            <w:vAlign w:val="center"/>
            <w:hideMark/>
          </w:tcPr>
          <w:p w14:paraId="7C5F5710" w14:textId="77777777" w:rsidR="00371585" w:rsidRPr="00CF48A1" w:rsidRDefault="00371585" w:rsidP="00371585">
            <w:pPr>
              <w:jc w:val="center"/>
              <w:rPr>
                <w:rFonts w:eastAsia="Times New Roman"/>
                <w:b/>
                <w:bCs/>
                <w:color w:val="000000"/>
                <w:lang w:eastAsia="fr-FR"/>
              </w:rPr>
            </w:pPr>
            <w:r w:rsidRPr="00CF48A1">
              <w:rPr>
                <w:rFonts w:eastAsia="Times New Roman"/>
                <w:b/>
                <w:bCs/>
                <w:color w:val="000000"/>
                <w:lang w:eastAsia="fr-FR"/>
              </w:rPr>
              <w:t>Les retours des patients</w:t>
            </w:r>
          </w:p>
        </w:tc>
      </w:tr>
      <w:tr w:rsidR="00371585" w:rsidRPr="00CF48A1" w14:paraId="44D7F1E4" w14:textId="77777777" w:rsidTr="00371585">
        <w:trPr>
          <w:trHeight w:val="361"/>
        </w:trPr>
        <w:tc>
          <w:tcPr>
            <w:tcW w:w="6384" w:type="dxa"/>
            <w:shd w:val="clear" w:color="auto" w:fill="auto"/>
            <w:vAlign w:val="center"/>
            <w:hideMark/>
          </w:tcPr>
          <w:p w14:paraId="2BDCE868"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Bien</w:t>
            </w:r>
          </w:p>
        </w:tc>
        <w:tc>
          <w:tcPr>
            <w:tcW w:w="1522" w:type="dxa"/>
            <w:shd w:val="clear" w:color="auto" w:fill="auto"/>
            <w:vAlign w:val="center"/>
            <w:hideMark/>
          </w:tcPr>
          <w:p w14:paraId="54CCA2F0"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36</w:t>
            </w:r>
          </w:p>
        </w:tc>
        <w:tc>
          <w:tcPr>
            <w:tcW w:w="1962" w:type="dxa"/>
            <w:shd w:val="clear" w:color="auto" w:fill="auto"/>
            <w:vAlign w:val="center"/>
            <w:hideMark/>
          </w:tcPr>
          <w:p w14:paraId="4993C421"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24.5%</w:t>
            </w:r>
          </w:p>
        </w:tc>
      </w:tr>
      <w:tr w:rsidR="00371585" w:rsidRPr="00CF48A1" w14:paraId="303DFC25" w14:textId="77777777" w:rsidTr="00371585">
        <w:trPr>
          <w:trHeight w:val="361"/>
        </w:trPr>
        <w:tc>
          <w:tcPr>
            <w:tcW w:w="6384" w:type="dxa"/>
            <w:shd w:val="clear" w:color="auto" w:fill="auto"/>
            <w:vAlign w:val="center"/>
            <w:hideMark/>
          </w:tcPr>
          <w:p w14:paraId="2B6791BE"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Très bien</w:t>
            </w:r>
          </w:p>
        </w:tc>
        <w:tc>
          <w:tcPr>
            <w:tcW w:w="1522" w:type="dxa"/>
            <w:shd w:val="clear" w:color="auto" w:fill="auto"/>
            <w:vAlign w:val="center"/>
            <w:hideMark/>
          </w:tcPr>
          <w:p w14:paraId="3F4EFEAA"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75</w:t>
            </w:r>
          </w:p>
        </w:tc>
        <w:tc>
          <w:tcPr>
            <w:tcW w:w="1962" w:type="dxa"/>
            <w:shd w:val="clear" w:color="auto" w:fill="auto"/>
            <w:vAlign w:val="center"/>
            <w:hideMark/>
          </w:tcPr>
          <w:p w14:paraId="548C9506"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51%</w:t>
            </w:r>
          </w:p>
        </w:tc>
      </w:tr>
      <w:tr w:rsidR="00371585" w:rsidRPr="00CF48A1" w14:paraId="62F2925B" w14:textId="77777777" w:rsidTr="00371585">
        <w:trPr>
          <w:trHeight w:val="361"/>
        </w:trPr>
        <w:tc>
          <w:tcPr>
            <w:tcW w:w="6384" w:type="dxa"/>
            <w:shd w:val="clear" w:color="auto" w:fill="auto"/>
            <w:vAlign w:val="center"/>
            <w:hideMark/>
          </w:tcPr>
          <w:p w14:paraId="54FEDFAC"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Excellent</w:t>
            </w:r>
          </w:p>
        </w:tc>
        <w:tc>
          <w:tcPr>
            <w:tcW w:w="1522" w:type="dxa"/>
            <w:shd w:val="clear" w:color="auto" w:fill="auto"/>
            <w:vAlign w:val="center"/>
            <w:hideMark/>
          </w:tcPr>
          <w:p w14:paraId="50D7A738"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27</w:t>
            </w:r>
          </w:p>
        </w:tc>
        <w:tc>
          <w:tcPr>
            <w:tcW w:w="1962" w:type="dxa"/>
            <w:shd w:val="clear" w:color="auto" w:fill="auto"/>
            <w:vAlign w:val="center"/>
            <w:hideMark/>
          </w:tcPr>
          <w:p w14:paraId="7C36F219"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18.4%</w:t>
            </w:r>
          </w:p>
        </w:tc>
      </w:tr>
      <w:tr w:rsidR="00371585" w:rsidRPr="00CF48A1" w14:paraId="4737C396" w14:textId="77777777" w:rsidTr="00371585">
        <w:trPr>
          <w:trHeight w:val="361"/>
        </w:trPr>
        <w:tc>
          <w:tcPr>
            <w:tcW w:w="6384" w:type="dxa"/>
            <w:shd w:val="clear" w:color="auto" w:fill="auto"/>
            <w:vAlign w:val="center"/>
            <w:hideMark/>
          </w:tcPr>
          <w:p w14:paraId="0EE58ED8"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Mauvais retours</w:t>
            </w:r>
          </w:p>
        </w:tc>
        <w:tc>
          <w:tcPr>
            <w:tcW w:w="1522" w:type="dxa"/>
            <w:shd w:val="clear" w:color="auto" w:fill="auto"/>
            <w:vAlign w:val="center"/>
            <w:hideMark/>
          </w:tcPr>
          <w:p w14:paraId="17A5A985"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9</w:t>
            </w:r>
          </w:p>
        </w:tc>
        <w:tc>
          <w:tcPr>
            <w:tcW w:w="1962" w:type="dxa"/>
            <w:shd w:val="clear" w:color="auto" w:fill="auto"/>
            <w:vAlign w:val="center"/>
            <w:hideMark/>
          </w:tcPr>
          <w:p w14:paraId="49651DDF"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6.1%</w:t>
            </w:r>
          </w:p>
        </w:tc>
      </w:tr>
      <w:tr w:rsidR="00371585" w:rsidRPr="00CF48A1" w14:paraId="47967404" w14:textId="77777777" w:rsidTr="00371585">
        <w:trPr>
          <w:trHeight w:val="325"/>
        </w:trPr>
        <w:tc>
          <w:tcPr>
            <w:tcW w:w="9869" w:type="dxa"/>
            <w:gridSpan w:val="3"/>
            <w:shd w:val="clear" w:color="auto" w:fill="auto"/>
            <w:vAlign w:val="center"/>
            <w:hideMark/>
          </w:tcPr>
          <w:p w14:paraId="41572796" w14:textId="77777777" w:rsidR="00371585" w:rsidRPr="00CF48A1" w:rsidRDefault="00371585" w:rsidP="00371585">
            <w:pPr>
              <w:jc w:val="center"/>
              <w:rPr>
                <w:rFonts w:eastAsia="Times New Roman"/>
                <w:b/>
                <w:bCs/>
                <w:color w:val="000000"/>
                <w:lang w:eastAsia="fr-FR"/>
              </w:rPr>
            </w:pPr>
            <w:r w:rsidRPr="00CF48A1">
              <w:rPr>
                <w:rFonts w:eastAsia="Times New Roman"/>
                <w:b/>
                <w:bCs/>
                <w:color w:val="000000"/>
                <w:lang w:eastAsia="fr-FR"/>
              </w:rPr>
              <w:t>Les obstacles de dispensation</w:t>
            </w:r>
          </w:p>
        </w:tc>
      </w:tr>
      <w:tr w:rsidR="00371585" w:rsidRPr="00CF48A1" w14:paraId="43B42D1E" w14:textId="77777777" w:rsidTr="00371585">
        <w:trPr>
          <w:trHeight w:val="361"/>
        </w:trPr>
        <w:tc>
          <w:tcPr>
            <w:tcW w:w="6384" w:type="dxa"/>
            <w:shd w:val="clear" w:color="auto" w:fill="auto"/>
            <w:vAlign w:val="center"/>
            <w:hideMark/>
          </w:tcPr>
          <w:p w14:paraId="71EDA514"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Les patients ont des informations erronées</w:t>
            </w:r>
          </w:p>
        </w:tc>
        <w:tc>
          <w:tcPr>
            <w:tcW w:w="1522" w:type="dxa"/>
            <w:shd w:val="clear" w:color="auto" w:fill="auto"/>
            <w:vAlign w:val="center"/>
            <w:hideMark/>
          </w:tcPr>
          <w:p w14:paraId="44E2D21F"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43</w:t>
            </w:r>
          </w:p>
        </w:tc>
        <w:tc>
          <w:tcPr>
            <w:tcW w:w="1962" w:type="dxa"/>
            <w:shd w:val="clear" w:color="auto" w:fill="auto"/>
            <w:vAlign w:val="center"/>
            <w:hideMark/>
          </w:tcPr>
          <w:p w14:paraId="4CA3D1CB"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29.3%</w:t>
            </w:r>
          </w:p>
        </w:tc>
      </w:tr>
      <w:tr w:rsidR="00371585" w:rsidRPr="00CF48A1" w14:paraId="30AE8B39" w14:textId="77777777" w:rsidTr="00371585">
        <w:trPr>
          <w:trHeight w:val="639"/>
        </w:trPr>
        <w:tc>
          <w:tcPr>
            <w:tcW w:w="6384" w:type="dxa"/>
            <w:shd w:val="clear" w:color="auto" w:fill="auto"/>
            <w:vAlign w:val="center"/>
            <w:hideMark/>
          </w:tcPr>
          <w:p w14:paraId="72339F9A"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Mes connaissances ne sont pas suffisantes pour répondre à des questions des patients</w:t>
            </w:r>
          </w:p>
        </w:tc>
        <w:tc>
          <w:tcPr>
            <w:tcW w:w="1522" w:type="dxa"/>
            <w:shd w:val="clear" w:color="auto" w:fill="auto"/>
            <w:vAlign w:val="center"/>
            <w:hideMark/>
          </w:tcPr>
          <w:p w14:paraId="417ED0A1"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5</w:t>
            </w:r>
          </w:p>
        </w:tc>
        <w:tc>
          <w:tcPr>
            <w:tcW w:w="1962" w:type="dxa"/>
            <w:shd w:val="clear" w:color="auto" w:fill="auto"/>
            <w:vAlign w:val="center"/>
            <w:hideMark/>
          </w:tcPr>
          <w:p w14:paraId="391689BB"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3.4%</w:t>
            </w:r>
          </w:p>
        </w:tc>
      </w:tr>
      <w:tr w:rsidR="00371585" w:rsidRPr="00CF48A1" w14:paraId="5AB59D84" w14:textId="77777777" w:rsidTr="00371585">
        <w:trPr>
          <w:trHeight w:val="349"/>
        </w:trPr>
        <w:tc>
          <w:tcPr>
            <w:tcW w:w="6384" w:type="dxa"/>
            <w:shd w:val="clear" w:color="auto" w:fill="auto"/>
            <w:vAlign w:val="center"/>
            <w:hideMark/>
          </w:tcPr>
          <w:p w14:paraId="331FDDB4"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Médicaments chers et non remboursables</w:t>
            </w:r>
          </w:p>
        </w:tc>
        <w:tc>
          <w:tcPr>
            <w:tcW w:w="1522" w:type="dxa"/>
            <w:shd w:val="clear" w:color="auto" w:fill="auto"/>
            <w:vAlign w:val="center"/>
            <w:hideMark/>
          </w:tcPr>
          <w:p w14:paraId="68890D9E"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75</w:t>
            </w:r>
          </w:p>
        </w:tc>
        <w:tc>
          <w:tcPr>
            <w:tcW w:w="1962" w:type="dxa"/>
            <w:shd w:val="clear" w:color="auto" w:fill="auto"/>
            <w:vAlign w:val="center"/>
            <w:hideMark/>
          </w:tcPr>
          <w:p w14:paraId="6CDC4E52"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51%</w:t>
            </w:r>
          </w:p>
        </w:tc>
      </w:tr>
      <w:tr w:rsidR="00371585" w:rsidRPr="00CF48A1" w14:paraId="3C97FC4B" w14:textId="77777777" w:rsidTr="00371585">
        <w:trPr>
          <w:trHeight w:val="349"/>
        </w:trPr>
        <w:tc>
          <w:tcPr>
            <w:tcW w:w="6384" w:type="dxa"/>
            <w:shd w:val="clear" w:color="auto" w:fill="auto"/>
            <w:vAlign w:val="center"/>
            <w:hideMark/>
          </w:tcPr>
          <w:p w14:paraId="0468C95E"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Aucun obstacle</w:t>
            </w:r>
          </w:p>
        </w:tc>
        <w:tc>
          <w:tcPr>
            <w:tcW w:w="1522" w:type="dxa"/>
            <w:shd w:val="clear" w:color="auto" w:fill="auto"/>
            <w:vAlign w:val="center"/>
            <w:hideMark/>
          </w:tcPr>
          <w:p w14:paraId="4301CAA7"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24</w:t>
            </w:r>
          </w:p>
        </w:tc>
        <w:tc>
          <w:tcPr>
            <w:tcW w:w="1962" w:type="dxa"/>
            <w:shd w:val="clear" w:color="auto" w:fill="auto"/>
            <w:vAlign w:val="center"/>
            <w:hideMark/>
          </w:tcPr>
          <w:p w14:paraId="36C848A7"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16.3%</w:t>
            </w:r>
          </w:p>
        </w:tc>
      </w:tr>
      <w:tr w:rsidR="00371585" w:rsidRPr="00CF48A1" w14:paraId="53A3C8C4" w14:textId="77777777" w:rsidTr="00371585">
        <w:trPr>
          <w:trHeight w:val="313"/>
        </w:trPr>
        <w:tc>
          <w:tcPr>
            <w:tcW w:w="9869" w:type="dxa"/>
            <w:gridSpan w:val="3"/>
            <w:shd w:val="clear" w:color="auto" w:fill="auto"/>
            <w:vAlign w:val="center"/>
            <w:hideMark/>
          </w:tcPr>
          <w:p w14:paraId="2DB6A9FB" w14:textId="77777777" w:rsidR="00371585" w:rsidRPr="00CF48A1" w:rsidRDefault="00371585" w:rsidP="00371585">
            <w:pPr>
              <w:jc w:val="center"/>
              <w:rPr>
                <w:rFonts w:eastAsia="Times New Roman"/>
                <w:b/>
                <w:bCs/>
                <w:color w:val="000000"/>
                <w:lang w:eastAsia="fr-FR"/>
              </w:rPr>
            </w:pPr>
            <w:r w:rsidRPr="00CF48A1">
              <w:rPr>
                <w:rFonts w:eastAsia="Times New Roman"/>
                <w:b/>
                <w:bCs/>
                <w:color w:val="000000"/>
                <w:lang w:eastAsia="fr-FR"/>
              </w:rPr>
              <w:t>Auto-évaluation des connaissances</w:t>
            </w:r>
          </w:p>
        </w:tc>
      </w:tr>
      <w:tr w:rsidR="00371585" w:rsidRPr="00CF48A1" w14:paraId="42E923C4" w14:textId="77777777" w:rsidTr="00371585">
        <w:trPr>
          <w:trHeight w:val="349"/>
        </w:trPr>
        <w:tc>
          <w:tcPr>
            <w:tcW w:w="6384" w:type="dxa"/>
            <w:shd w:val="clear" w:color="auto" w:fill="auto"/>
            <w:vAlign w:val="center"/>
            <w:hideMark/>
          </w:tcPr>
          <w:p w14:paraId="4D59E516"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Excellente</w:t>
            </w:r>
          </w:p>
        </w:tc>
        <w:tc>
          <w:tcPr>
            <w:tcW w:w="1522" w:type="dxa"/>
            <w:shd w:val="clear" w:color="auto" w:fill="auto"/>
            <w:vAlign w:val="center"/>
            <w:hideMark/>
          </w:tcPr>
          <w:p w14:paraId="0CB66DB0"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38</w:t>
            </w:r>
          </w:p>
        </w:tc>
        <w:tc>
          <w:tcPr>
            <w:tcW w:w="1962" w:type="dxa"/>
            <w:shd w:val="clear" w:color="auto" w:fill="auto"/>
            <w:vAlign w:val="center"/>
            <w:hideMark/>
          </w:tcPr>
          <w:p w14:paraId="4D9AB39B"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25.9%</w:t>
            </w:r>
          </w:p>
        </w:tc>
      </w:tr>
      <w:tr w:rsidR="00371585" w:rsidRPr="00CF48A1" w14:paraId="0C908229" w14:textId="77777777" w:rsidTr="00371585">
        <w:trPr>
          <w:trHeight w:val="349"/>
        </w:trPr>
        <w:tc>
          <w:tcPr>
            <w:tcW w:w="6384" w:type="dxa"/>
            <w:shd w:val="clear" w:color="auto" w:fill="auto"/>
            <w:vAlign w:val="center"/>
            <w:hideMark/>
          </w:tcPr>
          <w:p w14:paraId="050DE39C"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Très bien</w:t>
            </w:r>
          </w:p>
        </w:tc>
        <w:tc>
          <w:tcPr>
            <w:tcW w:w="1522" w:type="dxa"/>
            <w:shd w:val="clear" w:color="auto" w:fill="auto"/>
            <w:vAlign w:val="center"/>
            <w:hideMark/>
          </w:tcPr>
          <w:p w14:paraId="00E17D24"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30</w:t>
            </w:r>
          </w:p>
        </w:tc>
        <w:tc>
          <w:tcPr>
            <w:tcW w:w="1962" w:type="dxa"/>
            <w:shd w:val="clear" w:color="auto" w:fill="auto"/>
            <w:vAlign w:val="center"/>
            <w:hideMark/>
          </w:tcPr>
          <w:p w14:paraId="658A7AA9"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20.4%</w:t>
            </w:r>
          </w:p>
        </w:tc>
      </w:tr>
      <w:tr w:rsidR="00371585" w:rsidRPr="00CF48A1" w14:paraId="261A1119" w14:textId="77777777" w:rsidTr="00371585">
        <w:trPr>
          <w:trHeight w:val="349"/>
        </w:trPr>
        <w:tc>
          <w:tcPr>
            <w:tcW w:w="6384" w:type="dxa"/>
            <w:shd w:val="clear" w:color="auto" w:fill="auto"/>
            <w:vAlign w:val="center"/>
            <w:hideMark/>
          </w:tcPr>
          <w:p w14:paraId="1EDE18E4"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lastRenderedPageBreak/>
              <w:t>Bien</w:t>
            </w:r>
          </w:p>
        </w:tc>
        <w:tc>
          <w:tcPr>
            <w:tcW w:w="1522" w:type="dxa"/>
            <w:shd w:val="clear" w:color="auto" w:fill="auto"/>
            <w:vAlign w:val="center"/>
            <w:hideMark/>
          </w:tcPr>
          <w:p w14:paraId="496DACEF"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74</w:t>
            </w:r>
          </w:p>
        </w:tc>
        <w:tc>
          <w:tcPr>
            <w:tcW w:w="1962" w:type="dxa"/>
            <w:shd w:val="clear" w:color="auto" w:fill="auto"/>
            <w:vAlign w:val="center"/>
            <w:hideMark/>
          </w:tcPr>
          <w:p w14:paraId="0F9018F4"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50.3%</w:t>
            </w:r>
          </w:p>
        </w:tc>
      </w:tr>
      <w:tr w:rsidR="00371585" w:rsidRPr="00CF48A1" w14:paraId="52A6C482" w14:textId="77777777" w:rsidTr="00371585">
        <w:trPr>
          <w:trHeight w:val="349"/>
        </w:trPr>
        <w:tc>
          <w:tcPr>
            <w:tcW w:w="6384" w:type="dxa"/>
            <w:shd w:val="clear" w:color="auto" w:fill="auto"/>
            <w:vAlign w:val="center"/>
            <w:hideMark/>
          </w:tcPr>
          <w:p w14:paraId="510EB85C"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Faible</w:t>
            </w:r>
          </w:p>
        </w:tc>
        <w:tc>
          <w:tcPr>
            <w:tcW w:w="1522" w:type="dxa"/>
            <w:shd w:val="clear" w:color="auto" w:fill="auto"/>
            <w:vAlign w:val="center"/>
            <w:hideMark/>
          </w:tcPr>
          <w:p w14:paraId="3CC377D1"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5</w:t>
            </w:r>
          </w:p>
        </w:tc>
        <w:tc>
          <w:tcPr>
            <w:tcW w:w="1962" w:type="dxa"/>
            <w:shd w:val="clear" w:color="auto" w:fill="auto"/>
            <w:vAlign w:val="center"/>
            <w:hideMark/>
          </w:tcPr>
          <w:p w14:paraId="31D850F6"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3.4%</w:t>
            </w:r>
          </w:p>
        </w:tc>
      </w:tr>
      <w:tr w:rsidR="00371585" w:rsidRPr="00CF48A1" w14:paraId="037D326D" w14:textId="77777777" w:rsidTr="00371585">
        <w:trPr>
          <w:trHeight w:val="313"/>
        </w:trPr>
        <w:tc>
          <w:tcPr>
            <w:tcW w:w="9869" w:type="dxa"/>
            <w:gridSpan w:val="3"/>
            <w:shd w:val="clear" w:color="auto" w:fill="auto"/>
            <w:vAlign w:val="center"/>
            <w:hideMark/>
          </w:tcPr>
          <w:p w14:paraId="62CD9294" w14:textId="77777777" w:rsidR="00371585" w:rsidRPr="00CF48A1" w:rsidRDefault="00371585" w:rsidP="00371585">
            <w:pPr>
              <w:jc w:val="center"/>
              <w:rPr>
                <w:rFonts w:eastAsia="Times New Roman"/>
                <w:b/>
                <w:bCs/>
                <w:color w:val="000000"/>
                <w:lang w:eastAsia="fr-FR"/>
              </w:rPr>
            </w:pPr>
            <w:r w:rsidRPr="00CF48A1">
              <w:rPr>
                <w:rFonts w:eastAsia="Times New Roman"/>
                <w:b/>
                <w:bCs/>
                <w:color w:val="000000"/>
                <w:lang w:eastAsia="fr-FR"/>
              </w:rPr>
              <w:t>Le besoin en formation</w:t>
            </w:r>
          </w:p>
        </w:tc>
      </w:tr>
      <w:tr w:rsidR="00371585" w:rsidRPr="00CF48A1" w14:paraId="2B9866BC" w14:textId="77777777" w:rsidTr="00371585">
        <w:trPr>
          <w:trHeight w:val="349"/>
        </w:trPr>
        <w:tc>
          <w:tcPr>
            <w:tcW w:w="6384" w:type="dxa"/>
            <w:shd w:val="clear" w:color="auto" w:fill="auto"/>
            <w:vAlign w:val="center"/>
            <w:hideMark/>
          </w:tcPr>
          <w:p w14:paraId="75044055"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Besoin élevé</w:t>
            </w:r>
          </w:p>
        </w:tc>
        <w:tc>
          <w:tcPr>
            <w:tcW w:w="1522" w:type="dxa"/>
            <w:shd w:val="clear" w:color="auto" w:fill="auto"/>
            <w:vAlign w:val="center"/>
            <w:hideMark/>
          </w:tcPr>
          <w:p w14:paraId="3F24FAAF"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65</w:t>
            </w:r>
          </w:p>
        </w:tc>
        <w:tc>
          <w:tcPr>
            <w:tcW w:w="1962" w:type="dxa"/>
            <w:shd w:val="clear" w:color="auto" w:fill="auto"/>
            <w:vAlign w:val="center"/>
            <w:hideMark/>
          </w:tcPr>
          <w:p w14:paraId="08B1E485"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44.2%</w:t>
            </w:r>
          </w:p>
        </w:tc>
      </w:tr>
      <w:tr w:rsidR="00371585" w:rsidRPr="00CF48A1" w14:paraId="01C80D44" w14:textId="77777777" w:rsidTr="00371585">
        <w:trPr>
          <w:trHeight w:val="349"/>
        </w:trPr>
        <w:tc>
          <w:tcPr>
            <w:tcW w:w="6384" w:type="dxa"/>
            <w:shd w:val="clear" w:color="auto" w:fill="auto"/>
            <w:vAlign w:val="center"/>
            <w:hideMark/>
          </w:tcPr>
          <w:p w14:paraId="10A9F86A"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Besoin modéré</w:t>
            </w:r>
          </w:p>
        </w:tc>
        <w:tc>
          <w:tcPr>
            <w:tcW w:w="1522" w:type="dxa"/>
            <w:shd w:val="clear" w:color="auto" w:fill="auto"/>
            <w:vAlign w:val="center"/>
            <w:hideMark/>
          </w:tcPr>
          <w:p w14:paraId="63ABC43C"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66</w:t>
            </w:r>
          </w:p>
        </w:tc>
        <w:tc>
          <w:tcPr>
            <w:tcW w:w="1962" w:type="dxa"/>
            <w:shd w:val="clear" w:color="auto" w:fill="auto"/>
            <w:vAlign w:val="center"/>
            <w:hideMark/>
          </w:tcPr>
          <w:p w14:paraId="4F9427CF"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44.9%</w:t>
            </w:r>
          </w:p>
        </w:tc>
      </w:tr>
      <w:tr w:rsidR="00371585" w:rsidRPr="00CF48A1" w14:paraId="67680BE5" w14:textId="77777777" w:rsidTr="00371585">
        <w:trPr>
          <w:trHeight w:val="349"/>
        </w:trPr>
        <w:tc>
          <w:tcPr>
            <w:tcW w:w="6384" w:type="dxa"/>
            <w:shd w:val="clear" w:color="auto" w:fill="auto"/>
            <w:vAlign w:val="center"/>
            <w:hideMark/>
          </w:tcPr>
          <w:p w14:paraId="72B18DBE"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Pas de besoin</w:t>
            </w:r>
          </w:p>
        </w:tc>
        <w:tc>
          <w:tcPr>
            <w:tcW w:w="1522" w:type="dxa"/>
            <w:shd w:val="clear" w:color="auto" w:fill="auto"/>
            <w:vAlign w:val="center"/>
            <w:hideMark/>
          </w:tcPr>
          <w:p w14:paraId="20979A07"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16</w:t>
            </w:r>
          </w:p>
        </w:tc>
        <w:tc>
          <w:tcPr>
            <w:tcW w:w="1962" w:type="dxa"/>
            <w:shd w:val="clear" w:color="auto" w:fill="auto"/>
            <w:vAlign w:val="center"/>
            <w:hideMark/>
          </w:tcPr>
          <w:p w14:paraId="72FCCD97"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10.9%</w:t>
            </w:r>
          </w:p>
        </w:tc>
      </w:tr>
      <w:tr w:rsidR="00371585" w:rsidRPr="00CF48A1" w14:paraId="3408A80F" w14:textId="77777777" w:rsidTr="00371585">
        <w:trPr>
          <w:trHeight w:val="313"/>
        </w:trPr>
        <w:tc>
          <w:tcPr>
            <w:tcW w:w="9869" w:type="dxa"/>
            <w:gridSpan w:val="3"/>
            <w:shd w:val="clear" w:color="auto" w:fill="auto"/>
            <w:vAlign w:val="center"/>
            <w:hideMark/>
          </w:tcPr>
          <w:p w14:paraId="1D9D3BB7" w14:textId="77777777" w:rsidR="00371585" w:rsidRPr="00CF48A1" w:rsidRDefault="00371585" w:rsidP="00371585">
            <w:pPr>
              <w:jc w:val="center"/>
              <w:rPr>
                <w:rFonts w:eastAsia="Times New Roman"/>
                <w:b/>
                <w:bCs/>
                <w:color w:val="000000"/>
                <w:lang w:eastAsia="fr-FR"/>
              </w:rPr>
            </w:pPr>
            <w:r w:rsidRPr="00CF48A1">
              <w:rPr>
                <w:rFonts w:eastAsia="Times New Roman"/>
                <w:b/>
                <w:bCs/>
                <w:color w:val="000000"/>
                <w:lang w:eastAsia="fr-FR"/>
              </w:rPr>
              <w:t>Les sources des informations</w:t>
            </w:r>
          </w:p>
        </w:tc>
      </w:tr>
      <w:tr w:rsidR="00371585" w:rsidRPr="00CF48A1" w14:paraId="0A6F6C56" w14:textId="77777777" w:rsidTr="00371585">
        <w:trPr>
          <w:trHeight w:val="349"/>
        </w:trPr>
        <w:tc>
          <w:tcPr>
            <w:tcW w:w="6384" w:type="dxa"/>
            <w:shd w:val="clear" w:color="auto" w:fill="auto"/>
            <w:vAlign w:val="center"/>
            <w:hideMark/>
          </w:tcPr>
          <w:p w14:paraId="4B24135A"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Les sites web médicaux et pharmaceutiques</w:t>
            </w:r>
          </w:p>
        </w:tc>
        <w:tc>
          <w:tcPr>
            <w:tcW w:w="1522" w:type="dxa"/>
            <w:shd w:val="clear" w:color="auto" w:fill="auto"/>
            <w:vAlign w:val="center"/>
            <w:hideMark/>
          </w:tcPr>
          <w:p w14:paraId="42073D9C"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52</w:t>
            </w:r>
          </w:p>
        </w:tc>
        <w:tc>
          <w:tcPr>
            <w:tcW w:w="1962" w:type="dxa"/>
            <w:shd w:val="clear" w:color="auto" w:fill="auto"/>
            <w:vAlign w:val="center"/>
            <w:hideMark/>
          </w:tcPr>
          <w:p w14:paraId="2AD36250"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35.4%</w:t>
            </w:r>
          </w:p>
        </w:tc>
      </w:tr>
      <w:tr w:rsidR="00371585" w:rsidRPr="00CF48A1" w14:paraId="1FC91AC8" w14:textId="77777777" w:rsidTr="00371585">
        <w:trPr>
          <w:trHeight w:val="349"/>
        </w:trPr>
        <w:tc>
          <w:tcPr>
            <w:tcW w:w="6384" w:type="dxa"/>
            <w:shd w:val="clear" w:color="auto" w:fill="auto"/>
            <w:vAlign w:val="center"/>
            <w:hideMark/>
          </w:tcPr>
          <w:p w14:paraId="6F9BC77A"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Les revues médicales</w:t>
            </w:r>
          </w:p>
        </w:tc>
        <w:tc>
          <w:tcPr>
            <w:tcW w:w="1522" w:type="dxa"/>
            <w:shd w:val="clear" w:color="auto" w:fill="auto"/>
            <w:vAlign w:val="center"/>
            <w:hideMark/>
          </w:tcPr>
          <w:p w14:paraId="464081EA"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49</w:t>
            </w:r>
          </w:p>
        </w:tc>
        <w:tc>
          <w:tcPr>
            <w:tcW w:w="1962" w:type="dxa"/>
            <w:shd w:val="clear" w:color="auto" w:fill="auto"/>
            <w:vAlign w:val="center"/>
            <w:hideMark/>
          </w:tcPr>
          <w:p w14:paraId="33C4CBBF"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33.3%</w:t>
            </w:r>
          </w:p>
        </w:tc>
      </w:tr>
      <w:tr w:rsidR="00371585" w:rsidRPr="00CF48A1" w14:paraId="708FF788" w14:textId="77777777" w:rsidTr="00371585">
        <w:trPr>
          <w:trHeight w:val="349"/>
        </w:trPr>
        <w:tc>
          <w:tcPr>
            <w:tcW w:w="6384" w:type="dxa"/>
            <w:shd w:val="clear" w:color="auto" w:fill="auto"/>
            <w:vAlign w:val="center"/>
            <w:hideMark/>
          </w:tcPr>
          <w:p w14:paraId="01152D92"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Les délègues pharmaceutiques</w:t>
            </w:r>
          </w:p>
        </w:tc>
        <w:tc>
          <w:tcPr>
            <w:tcW w:w="1522" w:type="dxa"/>
            <w:shd w:val="clear" w:color="auto" w:fill="auto"/>
            <w:vAlign w:val="center"/>
            <w:hideMark/>
          </w:tcPr>
          <w:p w14:paraId="2481F562"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30</w:t>
            </w:r>
          </w:p>
        </w:tc>
        <w:tc>
          <w:tcPr>
            <w:tcW w:w="1962" w:type="dxa"/>
            <w:shd w:val="clear" w:color="auto" w:fill="auto"/>
            <w:vAlign w:val="center"/>
            <w:hideMark/>
          </w:tcPr>
          <w:p w14:paraId="28AF850C"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20.4%</w:t>
            </w:r>
          </w:p>
        </w:tc>
      </w:tr>
      <w:tr w:rsidR="00371585" w:rsidRPr="00CF48A1" w14:paraId="7D700C54" w14:textId="77777777" w:rsidTr="00371585">
        <w:trPr>
          <w:trHeight w:val="349"/>
        </w:trPr>
        <w:tc>
          <w:tcPr>
            <w:tcW w:w="6384" w:type="dxa"/>
            <w:shd w:val="clear" w:color="auto" w:fill="auto"/>
            <w:vAlign w:val="center"/>
            <w:hideMark/>
          </w:tcPr>
          <w:p w14:paraId="5E18209E" w14:textId="77777777" w:rsidR="00371585" w:rsidRPr="00CF48A1" w:rsidRDefault="00371585" w:rsidP="00371585">
            <w:pPr>
              <w:rPr>
                <w:rFonts w:eastAsia="Times New Roman"/>
                <w:color w:val="000000"/>
                <w:lang w:eastAsia="fr-FR"/>
              </w:rPr>
            </w:pPr>
            <w:r w:rsidRPr="00CF48A1">
              <w:rPr>
                <w:rFonts w:eastAsia="Times New Roman"/>
                <w:color w:val="000000"/>
                <w:lang w:eastAsia="fr-FR"/>
              </w:rPr>
              <w:t>Des formations universitaires payantes</w:t>
            </w:r>
          </w:p>
        </w:tc>
        <w:tc>
          <w:tcPr>
            <w:tcW w:w="1522" w:type="dxa"/>
            <w:shd w:val="clear" w:color="auto" w:fill="auto"/>
            <w:vAlign w:val="center"/>
            <w:hideMark/>
          </w:tcPr>
          <w:p w14:paraId="5EA82789" w14:textId="77777777" w:rsidR="00371585" w:rsidRPr="00CF48A1" w:rsidRDefault="00371585" w:rsidP="00371585">
            <w:pPr>
              <w:jc w:val="center"/>
              <w:rPr>
                <w:rFonts w:eastAsia="Times New Roman"/>
                <w:color w:val="000000"/>
                <w:lang w:eastAsia="fr-FR"/>
              </w:rPr>
            </w:pPr>
            <w:r w:rsidRPr="00CF48A1">
              <w:rPr>
                <w:rFonts w:eastAsia="Times New Roman"/>
                <w:color w:val="000000"/>
                <w:lang w:eastAsia="fr-FR"/>
              </w:rPr>
              <w:t>16</w:t>
            </w:r>
          </w:p>
        </w:tc>
        <w:tc>
          <w:tcPr>
            <w:tcW w:w="1962" w:type="dxa"/>
            <w:shd w:val="clear" w:color="auto" w:fill="auto"/>
            <w:vAlign w:val="center"/>
            <w:hideMark/>
          </w:tcPr>
          <w:p w14:paraId="7401A050" w14:textId="77777777" w:rsidR="00371585" w:rsidRPr="00CF48A1" w:rsidRDefault="00371585" w:rsidP="00371585">
            <w:pPr>
              <w:jc w:val="center"/>
              <w:rPr>
                <w:rFonts w:eastAsia="Times New Roman"/>
                <w:b/>
                <w:bCs/>
                <w:color w:val="000000"/>
                <w:sz w:val="28"/>
                <w:szCs w:val="28"/>
                <w:lang w:eastAsia="fr-FR"/>
              </w:rPr>
            </w:pPr>
            <w:r w:rsidRPr="00CF48A1">
              <w:rPr>
                <w:rFonts w:eastAsia="Times New Roman"/>
                <w:b/>
                <w:bCs/>
                <w:color w:val="000000"/>
                <w:sz w:val="28"/>
                <w:szCs w:val="28"/>
                <w:lang w:eastAsia="fr-FR"/>
              </w:rPr>
              <w:t>10.9%</w:t>
            </w:r>
          </w:p>
        </w:tc>
      </w:tr>
    </w:tbl>
    <w:p w14:paraId="2C363B4F" w14:textId="77777777" w:rsidR="00371585" w:rsidRPr="00CF48A1" w:rsidRDefault="00371585" w:rsidP="00CD6749">
      <w:pPr>
        <w:spacing w:line="360" w:lineRule="auto"/>
        <w:jc w:val="both"/>
      </w:pPr>
    </w:p>
    <w:p w14:paraId="7B5A4377" w14:textId="77777777" w:rsidR="00287694" w:rsidRPr="00CF48A1" w:rsidRDefault="00287694" w:rsidP="00CD6749">
      <w:pPr>
        <w:spacing w:line="360" w:lineRule="auto"/>
        <w:jc w:val="both"/>
      </w:pPr>
      <w:r w:rsidRPr="00CF48A1">
        <w:t>3.1</w:t>
      </w:r>
      <w:r w:rsidR="00CD6749" w:rsidRPr="00CF48A1">
        <w:t xml:space="preserve">) </w:t>
      </w:r>
      <w:r w:rsidRPr="00CF48A1">
        <w:t xml:space="preserve">Les perceptions des pharmaciens concernant les inhibiteurs SGLT2 </w:t>
      </w:r>
    </w:p>
    <w:p w14:paraId="50DB2743" w14:textId="77777777" w:rsidR="00CD6749" w:rsidRPr="00CF48A1" w:rsidRDefault="00CD6749" w:rsidP="00CD6749">
      <w:pPr>
        <w:spacing w:line="360" w:lineRule="auto"/>
        <w:jc w:val="both"/>
      </w:pPr>
    </w:p>
    <w:p w14:paraId="52189018" w14:textId="77777777" w:rsidR="00287694" w:rsidRPr="00CF48A1" w:rsidRDefault="005920AA" w:rsidP="008F6AC3">
      <w:r w:rsidRPr="00CF48A1">
        <w:rPr>
          <w:noProof/>
          <w:lang w:eastAsia="fr-FR"/>
        </w:rPr>
        <w:drawing>
          <wp:inline distT="0" distB="0" distL="0" distR="0" wp14:anchorId="651AF883" wp14:editId="56BCA6AF">
            <wp:extent cx="5111750" cy="3078959"/>
            <wp:effectExtent l="0" t="0" r="0" b="0"/>
            <wp:docPr id="931635014"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7068" cy="3106255"/>
                    </a:xfrm>
                    <a:prstGeom prst="rect">
                      <a:avLst/>
                    </a:prstGeom>
                    <a:noFill/>
                    <a:ln>
                      <a:noFill/>
                    </a:ln>
                  </pic:spPr>
                </pic:pic>
              </a:graphicData>
            </a:graphic>
          </wp:inline>
        </w:drawing>
      </w:r>
    </w:p>
    <w:p w14:paraId="135CCCD3" w14:textId="77777777" w:rsidR="00287694" w:rsidRPr="00CF48A1" w:rsidRDefault="00287694" w:rsidP="009A5599">
      <w:pPr>
        <w:jc w:val="both"/>
      </w:pPr>
    </w:p>
    <w:p w14:paraId="6A2A87E7" w14:textId="6AD2B1D8" w:rsidR="005920AA" w:rsidRPr="00CF48A1" w:rsidRDefault="00287694" w:rsidP="00CD6749">
      <w:pPr>
        <w:jc w:val="center"/>
      </w:pPr>
      <w:r w:rsidRPr="00CF48A1">
        <w:t>Figure</w:t>
      </w:r>
      <w:r w:rsidR="00CD6749" w:rsidRPr="00CF48A1">
        <w:t xml:space="preserve"> </w:t>
      </w:r>
      <w:r w:rsidR="00A97DE8" w:rsidRPr="00CF48A1">
        <w:t>1</w:t>
      </w:r>
      <w:r w:rsidR="0093199D" w:rsidRPr="00CF48A1">
        <w:t>3</w:t>
      </w:r>
      <w:r w:rsidRPr="00CF48A1">
        <w:t xml:space="preserve"> Répartition selon </w:t>
      </w:r>
      <w:r w:rsidR="00B238A2" w:rsidRPr="00CF48A1">
        <w:t>l</w:t>
      </w:r>
      <w:r w:rsidRPr="00CF48A1">
        <w:t>es perceptions des pharmaciens concernant les I</w:t>
      </w:r>
      <w:r w:rsidR="00CD6749" w:rsidRPr="00CF48A1">
        <w:t>-</w:t>
      </w:r>
      <w:r w:rsidRPr="00CF48A1">
        <w:t>SGLT2</w:t>
      </w:r>
    </w:p>
    <w:p w14:paraId="7CAC8D2B" w14:textId="77777777" w:rsidR="005920AA" w:rsidRPr="00CF48A1" w:rsidRDefault="005920AA" w:rsidP="009A5599">
      <w:pPr>
        <w:jc w:val="both"/>
      </w:pPr>
    </w:p>
    <w:p w14:paraId="02B0AC2D" w14:textId="0BA2AFEC" w:rsidR="00B238A2" w:rsidRPr="00CF48A1" w:rsidRDefault="005920AA" w:rsidP="00B238A2">
      <w:pPr>
        <w:spacing w:line="360" w:lineRule="auto"/>
        <w:jc w:val="both"/>
      </w:pPr>
      <w:r w:rsidRPr="00CF48A1">
        <w:t xml:space="preserve">Les </w:t>
      </w:r>
      <w:r w:rsidR="000C39AE" w:rsidRPr="00CF48A1">
        <w:t xml:space="preserve">participants ont répondues à </w:t>
      </w:r>
      <w:r w:rsidRPr="00CF48A1">
        <w:t>la question sur l</w:t>
      </w:r>
      <w:r w:rsidR="000C39AE" w:rsidRPr="00CF48A1">
        <w:t>eur</w:t>
      </w:r>
      <w:r w:rsidRPr="00CF48A1">
        <w:t xml:space="preserve"> perception </w:t>
      </w:r>
      <w:r w:rsidR="000C39AE" w:rsidRPr="00CF48A1">
        <w:t>sur</w:t>
      </w:r>
      <w:r w:rsidRPr="00CF48A1">
        <w:t xml:space="preserve"> les inhibiteurs du SGLT</w:t>
      </w:r>
      <w:proofErr w:type="gramStart"/>
      <w:r w:rsidRPr="00CF48A1">
        <w:t>2:</w:t>
      </w:r>
      <w:proofErr w:type="gramEnd"/>
      <w:r w:rsidRPr="00CF48A1">
        <w:t xml:space="preserve"> </w:t>
      </w:r>
    </w:p>
    <w:p w14:paraId="4EC9F012" w14:textId="7B4398BE" w:rsidR="00222388" w:rsidRPr="00CF48A1" w:rsidRDefault="005920AA" w:rsidP="00B238A2">
      <w:pPr>
        <w:spacing w:line="360" w:lineRule="auto"/>
        <w:jc w:val="both"/>
      </w:pPr>
      <w:r w:rsidRPr="00CF48A1">
        <w:t>- 15.6% des pharmaciens estiment qu'il n'y a aucun avantage significatif associé aux inhibiteurs du SGLT2.</w:t>
      </w:r>
    </w:p>
    <w:p w14:paraId="340BC573" w14:textId="38611014" w:rsidR="00222388" w:rsidRPr="00CF48A1" w:rsidRDefault="005920AA" w:rsidP="00B238A2">
      <w:pPr>
        <w:spacing w:line="360" w:lineRule="auto"/>
        <w:jc w:val="both"/>
      </w:pPr>
      <w:r w:rsidRPr="00CF48A1">
        <w:t>- 16.4% considère</w:t>
      </w:r>
      <w:r w:rsidR="00B238A2" w:rsidRPr="00CF48A1">
        <w:t>nt</w:t>
      </w:r>
      <w:r w:rsidRPr="00CF48A1">
        <w:t xml:space="preserve"> qu'il y a un avantage, mais de manière modeste. </w:t>
      </w:r>
    </w:p>
    <w:p w14:paraId="42A28E44" w14:textId="26BB6068" w:rsidR="00B238A2" w:rsidRPr="00CF48A1" w:rsidRDefault="005920AA" w:rsidP="00B238A2">
      <w:pPr>
        <w:spacing w:line="360" w:lineRule="auto"/>
        <w:jc w:val="both"/>
      </w:pPr>
      <w:r w:rsidRPr="00CF48A1">
        <w:t xml:space="preserve">- </w:t>
      </w:r>
      <w:r w:rsidR="000C39AE" w:rsidRPr="00CF48A1">
        <w:t>P</w:t>
      </w:r>
      <w:r w:rsidRPr="00CF48A1">
        <w:t>lus que la moitié des pharmaciens (52.4%) estime</w:t>
      </w:r>
      <w:r w:rsidR="00222388" w:rsidRPr="00CF48A1">
        <w:t>nt</w:t>
      </w:r>
      <w:r w:rsidRPr="00CF48A1">
        <w:t xml:space="preserve"> que les inhibiteurs du SGLT2 sont très efficaces, mais chez un groupe spécifique de patients.</w:t>
      </w:r>
    </w:p>
    <w:p w14:paraId="71389719" w14:textId="7D6E4175" w:rsidR="005920AA" w:rsidRPr="00CF48A1" w:rsidRDefault="005920AA" w:rsidP="00B238A2">
      <w:pPr>
        <w:spacing w:line="360" w:lineRule="auto"/>
        <w:jc w:val="both"/>
      </w:pPr>
      <w:r w:rsidRPr="00CF48A1">
        <w:t>-15.6% des pharmaciens estiment que les inhibiteurs du SGLT2 sont des molécules coûteuses</w:t>
      </w:r>
      <w:r w:rsidR="00222388" w:rsidRPr="00CF48A1">
        <w:t xml:space="preserve"> et sans bénéfice significatif.</w:t>
      </w:r>
    </w:p>
    <w:p w14:paraId="23099677" w14:textId="77777777" w:rsidR="00E71EBB" w:rsidRPr="00CF48A1" w:rsidRDefault="00E71EBB" w:rsidP="009A5599">
      <w:pPr>
        <w:jc w:val="both"/>
      </w:pPr>
    </w:p>
    <w:p w14:paraId="00B67CC5" w14:textId="247E897D" w:rsidR="00B238A2" w:rsidRPr="00CF48A1" w:rsidRDefault="005920AA" w:rsidP="009A5599">
      <w:pPr>
        <w:jc w:val="both"/>
      </w:pPr>
      <w:r w:rsidRPr="00CF48A1">
        <w:t>3.</w:t>
      </w:r>
      <w:r w:rsidR="00A97DE8" w:rsidRPr="00CF48A1">
        <w:t>2</w:t>
      </w:r>
      <w:r w:rsidR="00B238A2" w:rsidRPr="00CF48A1">
        <w:t>)</w:t>
      </w:r>
      <w:r w:rsidRPr="00CF48A1">
        <w:t xml:space="preserve"> Les retours des patients à propos les inhibiteurs SGLT2 </w:t>
      </w:r>
    </w:p>
    <w:p w14:paraId="4C109C5B" w14:textId="77777777" w:rsidR="005920AA" w:rsidRPr="00CF48A1" w:rsidRDefault="005920AA" w:rsidP="005920AA">
      <w:pPr>
        <w:jc w:val="both"/>
      </w:pPr>
    </w:p>
    <w:p w14:paraId="344B3DCE" w14:textId="77777777" w:rsidR="005920AA" w:rsidRPr="00CF48A1" w:rsidRDefault="005920AA" w:rsidP="00B238A2">
      <w:pPr>
        <w:jc w:val="center"/>
      </w:pPr>
      <w:r w:rsidRPr="00CF48A1">
        <w:rPr>
          <w:noProof/>
          <w:lang w:eastAsia="fr-FR"/>
        </w:rPr>
        <w:drawing>
          <wp:inline distT="0" distB="0" distL="0" distR="0" wp14:anchorId="1E537366" wp14:editId="70F50A5B">
            <wp:extent cx="3386578" cy="3429000"/>
            <wp:effectExtent l="0" t="0" r="0" b="0"/>
            <wp:docPr id="214212732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9626" cy="3442212"/>
                    </a:xfrm>
                    <a:prstGeom prst="rect">
                      <a:avLst/>
                    </a:prstGeom>
                    <a:noFill/>
                    <a:ln>
                      <a:noFill/>
                    </a:ln>
                  </pic:spPr>
                </pic:pic>
              </a:graphicData>
            </a:graphic>
          </wp:inline>
        </w:drawing>
      </w:r>
    </w:p>
    <w:p w14:paraId="458ECD25" w14:textId="31EEF463" w:rsidR="005920AA" w:rsidRPr="00CF48A1" w:rsidRDefault="005920AA" w:rsidP="00B238A2">
      <w:pPr>
        <w:jc w:val="center"/>
      </w:pPr>
      <w:r w:rsidRPr="00CF48A1">
        <w:t>Figure</w:t>
      </w:r>
      <w:r w:rsidR="00B238A2" w:rsidRPr="00CF48A1">
        <w:t xml:space="preserve"> </w:t>
      </w:r>
      <w:r w:rsidR="00A97DE8" w:rsidRPr="00CF48A1">
        <w:t>1</w:t>
      </w:r>
      <w:r w:rsidR="0093199D" w:rsidRPr="00CF48A1">
        <w:t>4</w:t>
      </w:r>
      <w:r w:rsidRPr="00CF48A1">
        <w:t xml:space="preserve"> Répartition selon les retours des patients à propos les I-SGLT2</w:t>
      </w:r>
    </w:p>
    <w:p w14:paraId="295620AA" w14:textId="77777777" w:rsidR="00B043AE" w:rsidRPr="00CF48A1" w:rsidRDefault="00B043AE" w:rsidP="009A5599">
      <w:pPr>
        <w:jc w:val="both"/>
      </w:pPr>
    </w:p>
    <w:p w14:paraId="6CCEF7D1" w14:textId="7FE33F92" w:rsidR="00B238A2" w:rsidRPr="00CF48A1" w:rsidRDefault="00B043AE" w:rsidP="00B238A2">
      <w:pPr>
        <w:spacing w:line="360" w:lineRule="auto"/>
        <w:jc w:val="both"/>
      </w:pPr>
      <w:r w:rsidRPr="00CF48A1">
        <w:t>Le résultat de</w:t>
      </w:r>
      <w:r w:rsidR="000C39AE" w:rsidRPr="00CF48A1">
        <w:t>s réponses sur la</w:t>
      </w:r>
      <w:r w:rsidRPr="00CF48A1">
        <w:t xml:space="preserve"> question </w:t>
      </w:r>
      <w:r w:rsidR="00664F6C" w:rsidRPr="00CF48A1">
        <w:t>des retours</w:t>
      </w:r>
      <w:r w:rsidRPr="00CF48A1">
        <w:t xml:space="preserve"> </w:t>
      </w:r>
      <w:r w:rsidR="00664F6C" w:rsidRPr="00CF48A1">
        <w:t>des patients à propos</w:t>
      </w:r>
      <w:r w:rsidRPr="00CF48A1">
        <w:t xml:space="preserve"> </w:t>
      </w:r>
      <w:r w:rsidR="00664F6C" w:rsidRPr="00CF48A1">
        <w:t>d</w:t>
      </w:r>
      <w:r w:rsidRPr="00CF48A1">
        <w:t xml:space="preserve">es inhibiteurs du SGLT2 indiquent les perceptions </w:t>
      </w:r>
      <w:r w:rsidR="00B238A2" w:rsidRPr="00CF48A1">
        <w:t>suivantes :</w:t>
      </w:r>
    </w:p>
    <w:p w14:paraId="5B05FEAA" w14:textId="10FD4EE2" w:rsidR="00FE0C05" w:rsidRPr="00CF48A1" w:rsidRDefault="00B043AE" w:rsidP="00B238A2">
      <w:pPr>
        <w:spacing w:line="360" w:lineRule="auto"/>
        <w:jc w:val="both"/>
      </w:pPr>
      <w:r w:rsidRPr="00CF48A1">
        <w:t>- 24.5% des pharmaciens estiment que les retours des patients sont jugés comme étant "bien". Cela suggère une satisfaction</w:t>
      </w:r>
      <w:r w:rsidR="00FE0C05" w:rsidRPr="00CF48A1">
        <w:t xml:space="preserve"> moyenne.</w:t>
      </w:r>
    </w:p>
    <w:p w14:paraId="1007B5C6" w14:textId="1DD806EF" w:rsidR="00B238A2" w:rsidRPr="00CF48A1" w:rsidRDefault="00B043AE" w:rsidP="00B238A2">
      <w:pPr>
        <w:spacing w:line="360" w:lineRule="auto"/>
        <w:jc w:val="both"/>
      </w:pPr>
      <w:r w:rsidRPr="00CF48A1">
        <w:t>- La majorité</w:t>
      </w:r>
      <w:r w:rsidR="000C39AE" w:rsidRPr="00CF48A1">
        <w:t xml:space="preserve"> (</w:t>
      </w:r>
      <w:r w:rsidRPr="00CF48A1">
        <w:t>51%</w:t>
      </w:r>
      <w:r w:rsidR="000C39AE" w:rsidRPr="00CF48A1">
        <w:t>)</w:t>
      </w:r>
      <w:r w:rsidRPr="00CF48A1">
        <w:t xml:space="preserve"> rapporte</w:t>
      </w:r>
      <w:r w:rsidR="000C39AE" w:rsidRPr="00CF48A1">
        <w:t>nt</w:t>
      </w:r>
      <w:r w:rsidRPr="00CF48A1">
        <w:t xml:space="preserve"> que les retours des patients sont jugés comme étant "très bien". Cela indique une satisfaction significative et positive de la part des patients </w:t>
      </w:r>
    </w:p>
    <w:p w14:paraId="12D523A1" w14:textId="0A440C58" w:rsidR="00B238A2" w:rsidRPr="00CF48A1" w:rsidRDefault="00B043AE" w:rsidP="00B238A2">
      <w:pPr>
        <w:spacing w:line="360" w:lineRule="auto"/>
        <w:jc w:val="both"/>
      </w:pPr>
      <w:r w:rsidRPr="00CF48A1">
        <w:t>-Environ 18.4% des pharmaciens estiment que les retours des patients sont jugés "excellents". Cela représente une évaluation très positive</w:t>
      </w:r>
      <w:r w:rsidR="00631BBC" w:rsidRPr="00CF48A1">
        <w:t xml:space="preserve"> et une satisfaction</w:t>
      </w:r>
      <w:r w:rsidRPr="00CF48A1">
        <w:t xml:space="preserve"> des patients </w:t>
      </w:r>
      <w:r w:rsidR="00631BBC" w:rsidRPr="00CF48A1">
        <w:t xml:space="preserve">utilisant </w:t>
      </w:r>
      <w:r w:rsidRPr="00CF48A1">
        <w:t>ces médicaments.</w:t>
      </w:r>
    </w:p>
    <w:p w14:paraId="2D849027" w14:textId="68FAA5A8" w:rsidR="00717BAB" w:rsidRPr="00CF48A1" w:rsidRDefault="00B043AE" w:rsidP="0093199D">
      <w:pPr>
        <w:spacing w:line="360" w:lineRule="auto"/>
        <w:jc w:val="both"/>
      </w:pPr>
      <w:r w:rsidRPr="00CF48A1">
        <w:t xml:space="preserve">-Une petite proportion, soit 6.1%, indique que les retours des patients sont </w:t>
      </w:r>
      <w:r w:rsidR="009E7270" w:rsidRPr="00CF48A1">
        <w:t>jugés comme étant "mauvais".</w:t>
      </w:r>
    </w:p>
    <w:p w14:paraId="07391F7D" w14:textId="77777777" w:rsidR="00664F6C" w:rsidRPr="00CF48A1" w:rsidRDefault="00664F6C" w:rsidP="0093199D">
      <w:pPr>
        <w:spacing w:line="360" w:lineRule="auto"/>
        <w:jc w:val="both"/>
      </w:pPr>
    </w:p>
    <w:p w14:paraId="51AA6C34" w14:textId="77777777" w:rsidR="00664F6C" w:rsidRPr="00CF48A1" w:rsidRDefault="00664F6C" w:rsidP="0093199D">
      <w:pPr>
        <w:spacing w:line="360" w:lineRule="auto"/>
        <w:jc w:val="both"/>
      </w:pPr>
    </w:p>
    <w:p w14:paraId="08B03EE8" w14:textId="77777777" w:rsidR="00664F6C" w:rsidRPr="00CF48A1" w:rsidRDefault="00664F6C" w:rsidP="0093199D">
      <w:pPr>
        <w:spacing w:line="360" w:lineRule="auto"/>
        <w:jc w:val="both"/>
      </w:pPr>
    </w:p>
    <w:p w14:paraId="3BED8DFB" w14:textId="77777777" w:rsidR="00664F6C" w:rsidRPr="00CF48A1" w:rsidRDefault="00664F6C" w:rsidP="0093199D">
      <w:pPr>
        <w:spacing w:line="360" w:lineRule="auto"/>
        <w:jc w:val="both"/>
      </w:pPr>
    </w:p>
    <w:p w14:paraId="1C3F2121" w14:textId="77777777" w:rsidR="00664F6C" w:rsidRPr="00CF48A1" w:rsidRDefault="00664F6C" w:rsidP="0093199D">
      <w:pPr>
        <w:spacing w:line="360" w:lineRule="auto"/>
        <w:jc w:val="both"/>
      </w:pPr>
    </w:p>
    <w:p w14:paraId="7943A642" w14:textId="77777777" w:rsidR="00664F6C" w:rsidRPr="00CF48A1" w:rsidRDefault="00664F6C" w:rsidP="0093199D">
      <w:pPr>
        <w:spacing w:line="360" w:lineRule="auto"/>
        <w:jc w:val="both"/>
      </w:pPr>
    </w:p>
    <w:p w14:paraId="59319659" w14:textId="699A5B11" w:rsidR="00B043AE" w:rsidRPr="00CF48A1" w:rsidRDefault="00B043AE" w:rsidP="009A5599">
      <w:pPr>
        <w:jc w:val="both"/>
      </w:pPr>
      <w:r w:rsidRPr="00CF48A1">
        <w:lastRenderedPageBreak/>
        <w:t>3.</w:t>
      </w:r>
      <w:r w:rsidR="00A97DE8" w:rsidRPr="00CF48A1">
        <w:t>3</w:t>
      </w:r>
      <w:r w:rsidR="00B238A2" w:rsidRPr="00CF48A1">
        <w:t xml:space="preserve">) </w:t>
      </w:r>
      <w:r w:rsidRPr="00CF48A1">
        <w:t xml:space="preserve">Les obstacles de la dispensation des inhibiteurs SGLT2 </w:t>
      </w:r>
    </w:p>
    <w:p w14:paraId="5E61C878" w14:textId="77777777" w:rsidR="00B043AE" w:rsidRPr="00CF48A1" w:rsidRDefault="00B043AE" w:rsidP="009A5599">
      <w:pPr>
        <w:jc w:val="both"/>
      </w:pPr>
    </w:p>
    <w:p w14:paraId="59BA5A86" w14:textId="77777777" w:rsidR="00475DC3" w:rsidRPr="00CF48A1" w:rsidRDefault="00475DC3" w:rsidP="009A5599">
      <w:pPr>
        <w:jc w:val="both"/>
      </w:pPr>
    </w:p>
    <w:p w14:paraId="5D2F9D85" w14:textId="77777777" w:rsidR="00475DC3" w:rsidRPr="00CF48A1" w:rsidRDefault="00475DC3" w:rsidP="00B238A2">
      <w:pPr>
        <w:jc w:val="center"/>
      </w:pPr>
      <w:r w:rsidRPr="00CF48A1">
        <w:rPr>
          <w:noProof/>
          <w:lang w:eastAsia="fr-FR"/>
        </w:rPr>
        <w:drawing>
          <wp:inline distT="0" distB="0" distL="0" distR="0" wp14:anchorId="565090DC" wp14:editId="6BD22356">
            <wp:extent cx="3721100" cy="2328715"/>
            <wp:effectExtent l="0" t="0" r="0" b="0"/>
            <wp:docPr id="159711264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8668" cy="2345967"/>
                    </a:xfrm>
                    <a:prstGeom prst="rect">
                      <a:avLst/>
                    </a:prstGeom>
                    <a:noFill/>
                    <a:ln>
                      <a:noFill/>
                    </a:ln>
                  </pic:spPr>
                </pic:pic>
              </a:graphicData>
            </a:graphic>
          </wp:inline>
        </w:drawing>
      </w:r>
    </w:p>
    <w:p w14:paraId="06BAE52A" w14:textId="5F1E7C70" w:rsidR="00475DC3" w:rsidRPr="00CF48A1" w:rsidRDefault="00475DC3" w:rsidP="00B238A2">
      <w:pPr>
        <w:jc w:val="center"/>
      </w:pPr>
      <w:r w:rsidRPr="00CF48A1">
        <w:t xml:space="preserve">Figure </w:t>
      </w:r>
      <w:r w:rsidR="00A97DE8" w:rsidRPr="00CF48A1">
        <w:t>1</w:t>
      </w:r>
      <w:r w:rsidR="0093199D" w:rsidRPr="00CF48A1">
        <w:t xml:space="preserve">5 </w:t>
      </w:r>
      <w:r w:rsidRPr="00CF48A1">
        <w:t>Répartition selon les obstacles de la dispensation des I-SGLT2</w:t>
      </w:r>
    </w:p>
    <w:p w14:paraId="4AF63AAC" w14:textId="77777777" w:rsidR="00194457" w:rsidRPr="00CF48A1" w:rsidRDefault="00194457" w:rsidP="00B238A2">
      <w:pPr>
        <w:jc w:val="center"/>
      </w:pPr>
    </w:p>
    <w:p w14:paraId="6335BE16" w14:textId="77777777" w:rsidR="00B238A2" w:rsidRPr="00CF48A1" w:rsidRDefault="00341F09" w:rsidP="00B238A2">
      <w:pPr>
        <w:spacing w:line="360" w:lineRule="auto"/>
        <w:jc w:val="both"/>
      </w:pPr>
      <w:r w:rsidRPr="00CF48A1">
        <w:t xml:space="preserve">Les résultats des réponses de la question sur les obstacles à la dispensation des inhibiteurs du SGLT2 suggèrent plusieurs points importants : </w:t>
      </w:r>
    </w:p>
    <w:p w14:paraId="1FCA3786" w14:textId="77777777" w:rsidR="00406D77" w:rsidRPr="00CF48A1" w:rsidRDefault="00341F09" w:rsidP="00B238A2">
      <w:pPr>
        <w:spacing w:line="360" w:lineRule="auto"/>
        <w:jc w:val="both"/>
      </w:pPr>
      <w:r w:rsidRPr="00CF48A1">
        <w:t xml:space="preserve">- Informations erronées des patients : Près d'un tiers (29.3%) des pharmaciens ont indiqué que l'obstacle </w:t>
      </w:r>
      <w:r w:rsidR="00194457" w:rsidRPr="00CF48A1">
        <w:t>principal</w:t>
      </w:r>
      <w:r w:rsidRPr="00CF48A1">
        <w:t xml:space="preserve"> réside dans les informations erronées que les patients détiennent.</w:t>
      </w:r>
    </w:p>
    <w:p w14:paraId="2BC0C7E1" w14:textId="77777777" w:rsidR="00406D77" w:rsidRPr="00CF48A1" w:rsidRDefault="00406D77" w:rsidP="00B238A2">
      <w:pPr>
        <w:spacing w:line="360" w:lineRule="auto"/>
        <w:jc w:val="both"/>
      </w:pPr>
      <w:r w:rsidRPr="00CF48A1">
        <w:t>-</w:t>
      </w:r>
      <w:r w:rsidR="00341F09" w:rsidRPr="00CF48A1">
        <w:t xml:space="preserve">Insuffisance des connaissances des pharmaciens : Une petite proportion (3.4%) des pharmaciens estiment que leur propre manque de connaissances constitue un obstacle. </w:t>
      </w:r>
    </w:p>
    <w:p w14:paraId="1DC0BF0F" w14:textId="77777777" w:rsidR="00406D77" w:rsidRPr="00CF48A1" w:rsidRDefault="00406D77" w:rsidP="00B238A2">
      <w:pPr>
        <w:spacing w:line="360" w:lineRule="auto"/>
        <w:jc w:val="both"/>
      </w:pPr>
      <w:r w:rsidRPr="00CF48A1">
        <w:t>-</w:t>
      </w:r>
      <w:r w:rsidR="00341F09" w:rsidRPr="00CF48A1">
        <w:t xml:space="preserve">Coût élevé et non-remboursabilité : Plus de la moitié des pharmaciens (51%) considèrent que le coût élevé et l'absence de remboursement représentent un obstacle majeur. </w:t>
      </w:r>
    </w:p>
    <w:p w14:paraId="19740EB1" w14:textId="6417CBC3" w:rsidR="00717BAB" w:rsidRPr="00CF48A1" w:rsidRDefault="00406D77" w:rsidP="0093199D">
      <w:pPr>
        <w:spacing w:line="360" w:lineRule="auto"/>
        <w:jc w:val="both"/>
      </w:pPr>
      <w:r w:rsidRPr="00CF48A1">
        <w:t>-</w:t>
      </w:r>
      <w:r w:rsidR="00341F09" w:rsidRPr="00CF48A1">
        <w:t>Absence d'obstacles : Environ 16.3% des pharmaciens estiment qu'il n'y a aucun obstacle majeur à la dispens</w:t>
      </w:r>
      <w:r w:rsidRPr="00CF48A1">
        <w:t>ation des inhibiteurs du SGLT2.</w:t>
      </w:r>
    </w:p>
    <w:p w14:paraId="0C7C7825" w14:textId="259BC66B" w:rsidR="00194457" w:rsidRPr="00CF48A1" w:rsidRDefault="00B10856" w:rsidP="0093199D">
      <w:pPr>
        <w:jc w:val="both"/>
      </w:pPr>
      <w:r w:rsidRPr="00CF48A1">
        <w:t>3.</w:t>
      </w:r>
      <w:r w:rsidR="00A97DE8" w:rsidRPr="00CF48A1">
        <w:t>4</w:t>
      </w:r>
      <w:r w:rsidRPr="00CF48A1">
        <w:t xml:space="preserve">. L’auto-évaluation des connaissances concernant les inhibiteurs SGLT2 </w:t>
      </w:r>
    </w:p>
    <w:p w14:paraId="05FA2F06" w14:textId="77777777" w:rsidR="00B10856" w:rsidRPr="00CF48A1" w:rsidRDefault="00B10856" w:rsidP="00B238A2">
      <w:pPr>
        <w:jc w:val="center"/>
      </w:pPr>
      <w:r w:rsidRPr="00CF48A1">
        <w:rPr>
          <w:noProof/>
          <w:lang w:eastAsia="fr-FR"/>
        </w:rPr>
        <w:drawing>
          <wp:inline distT="0" distB="0" distL="0" distR="0" wp14:anchorId="77A27BCC" wp14:editId="2E4E7596">
            <wp:extent cx="2381250" cy="2668048"/>
            <wp:effectExtent l="0" t="0" r="0" b="0"/>
            <wp:docPr id="1442289815"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7347" cy="2730902"/>
                    </a:xfrm>
                    <a:prstGeom prst="rect">
                      <a:avLst/>
                    </a:prstGeom>
                    <a:noFill/>
                    <a:ln>
                      <a:noFill/>
                    </a:ln>
                  </pic:spPr>
                </pic:pic>
              </a:graphicData>
            </a:graphic>
          </wp:inline>
        </w:drawing>
      </w:r>
    </w:p>
    <w:p w14:paraId="683CA53C" w14:textId="1301BCFC" w:rsidR="00B10856" w:rsidRPr="00CF48A1" w:rsidRDefault="00B10856" w:rsidP="0093199D">
      <w:pPr>
        <w:jc w:val="center"/>
      </w:pPr>
      <w:r w:rsidRPr="00CF48A1">
        <w:t>Figure</w:t>
      </w:r>
      <w:r w:rsidR="00B238A2" w:rsidRPr="00CF48A1">
        <w:t xml:space="preserve"> </w:t>
      </w:r>
      <w:r w:rsidR="00A97DE8" w:rsidRPr="00CF48A1">
        <w:t>1</w:t>
      </w:r>
      <w:r w:rsidR="0093199D" w:rsidRPr="00CF48A1">
        <w:t>6</w:t>
      </w:r>
      <w:r w:rsidRPr="00CF48A1">
        <w:t xml:space="preserve"> Répartitions selon l’auto-évaluation des connaissances concernant les I</w:t>
      </w:r>
      <w:r w:rsidR="00B238A2" w:rsidRPr="00CF48A1">
        <w:t>-</w:t>
      </w:r>
      <w:r w:rsidRPr="00CF48A1">
        <w:t>SGLT2</w:t>
      </w:r>
    </w:p>
    <w:p w14:paraId="799BED33" w14:textId="77777777" w:rsidR="00B238A2" w:rsidRPr="00CF48A1" w:rsidRDefault="00450648" w:rsidP="00B238A2">
      <w:pPr>
        <w:spacing w:line="360" w:lineRule="auto"/>
        <w:jc w:val="both"/>
      </w:pPr>
      <w:r w:rsidRPr="00CF48A1">
        <w:lastRenderedPageBreak/>
        <w:t xml:space="preserve">Les résultats de l'auto-évaluation des connaissances des pharmaciens concernant les inhibiteurs du SGLT2 indiquent les perceptions </w:t>
      </w:r>
      <w:r w:rsidR="00B238A2" w:rsidRPr="00CF48A1">
        <w:t>suivantes :</w:t>
      </w:r>
    </w:p>
    <w:p w14:paraId="6DE7A7C6" w14:textId="77777777" w:rsidR="00406D77" w:rsidRPr="00CF48A1" w:rsidRDefault="00450648" w:rsidP="00B238A2">
      <w:pPr>
        <w:spacing w:line="360" w:lineRule="auto"/>
        <w:jc w:val="both"/>
      </w:pPr>
      <w:r w:rsidRPr="00CF48A1">
        <w:t>- Excellente : Environ 25.9% des pharmaciens estiment que leur connaissance des inhibiteurs du SGLT2 est "excellente".</w:t>
      </w:r>
    </w:p>
    <w:p w14:paraId="6B1C46A5" w14:textId="77777777" w:rsidR="00B238A2" w:rsidRPr="00CF48A1" w:rsidRDefault="00450648" w:rsidP="00B238A2">
      <w:pPr>
        <w:spacing w:line="360" w:lineRule="auto"/>
        <w:jc w:val="both"/>
      </w:pPr>
      <w:r w:rsidRPr="00CF48A1">
        <w:t>- Très bien : Une proportion de 20.4% des pharmaciens évalue leurs connais</w:t>
      </w:r>
      <w:r w:rsidR="00406D77" w:rsidRPr="00CF48A1">
        <w:t>sances comme étant "très bien".</w:t>
      </w:r>
    </w:p>
    <w:p w14:paraId="36CF218D" w14:textId="77777777" w:rsidR="00406D77" w:rsidRPr="00CF48A1" w:rsidRDefault="00450648" w:rsidP="00B238A2">
      <w:pPr>
        <w:spacing w:line="360" w:lineRule="auto"/>
        <w:jc w:val="both"/>
      </w:pPr>
      <w:r w:rsidRPr="00CF48A1">
        <w:t>- Bien : La majorité, soit 50.3%, estime que ses connaissances sont "bien".</w:t>
      </w:r>
    </w:p>
    <w:p w14:paraId="4346F092" w14:textId="77777777" w:rsidR="00B10856" w:rsidRPr="00CF48A1" w:rsidRDefault="00406D77" w:rsidP="00B238A2">
      <w:pPr>
        <w:spacing w:line="360" w:lineRule="auto"/>
        <w:jc w:val="both"/>
      </w:pPr>
      <w:r w:rsidRPr="00CF48A1">
        <w:t>-</w:t>
      </w:r>
      <w:r w:rsidR="00450648" w:rsidRPr="00CF48A1">
        <w:t>Faible : Une petite proportion, soit 3.4%, indique que leur</w:t>
      </w:r>
      <w:r w:rsidRPr="00CF48A1">
        <w:t>s connaissances sont "faibles".</w:t>
      </w:r>
    </w:p>
    <w:p w14:paraId="5E1FC45E" w14:textId="7D159630" w:rsidR="00C70706" w:rsidRPr="00CF48A1" w:rsidRDefault="00C70706" w:rsidP="009A5599">
      <w:pPr>
        <w:jc w:val="both"/>
      </w:pPr>
      <w:r w:rsidRPr="00CF48A1">
        <w:t>3.</w:t>
      </w:r>
      <w:r w:rsidR="00A97DE8" w:rsidRPr="00CF48A1">
        <w:t>5</w:t>
      </w:r>
      <w:r w:rsidR="00B238A2" w:rsidRPr="00CF48A1">
        <w:t xml:space="preserve">) </w:t>
      </w:r>
      <w:r w:rsidRPr="00CF48A1">
        <w:t xml:space="preserve">Le besoin en formation </w:t>
      </w:r>
    </w:p>
    <w:p w14:paraId="03BD3FA4" w14:textId="77777777" w:rsidR="00C70706" w:rsidRPr="00CF48A1" w:rsidRDefault="00C70706" w:rsidP="009A5599">
      <w:pPr>
        <w:jc w:val="both"/>
      </w:pPr>
    </w:p>
    <w:p w14:paraId="14850CBF" w14:textId="77777777" w:rsidR="00C70706" w:rsidRPr="00CF48A1" w:rsidRDefault="00C70706" w:rsidP="009A5599">
      <w:pPr>
        <w:jc w:val="both"/>
      </w:pPr>
    </w:p>
    <w:p w14:paraId="4F46B442" w14:textId="77777777" w:rsidR="00C70706" w:rsidRPr="00CF48A1" w:rsidRDefault="00C70706" w:rsidP="00B238A2">
      <w:pPr>
        <w:jc w:val="center"/>
      </w:pPr>
      <w:r w:rsidRPr="00CF48A1">
        <w:rPr>
          <w:noProof/>
          <w:lang w:eastAsia="fr-FR"/>
        </w:rPr>
        <w:drawing>
          <wp:inline distT="0" distB="0" distL="0" distR="0" wp14:anchorId="171A8CEB" wp14:editId="20D6DFAF">
            <wp:extent cx="2674411" cy="2752725"/>
            <wp:effectExtent l="0" t="0" r="0" b="0"/>
            <wp:docPr id="85752182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84746" cy="2763362"/>
                    </a:xfrm>
                    <a:prstGeom prst="rect">
                      <a:avLst/>
                    </a:prstGeom>
                    <a:noFill/>
                    <a:ln>
                      <a:noFill/>
                    </a:ln>
                  </pic:spPr>
                </pic:pic>
              </a:graphicData>
            </a:graphic>
          </wp:inline>
        </w:drawing>
      </w:r>
    </w:p>
    <w:p w14:paraId="667E33A6" w14:textId="2B71DB0A" w:rsidR="00C70706" w:rsidRPr="00CF48A1" w:rsidRDefault="00C70706" w:rsidP="00B238A2">
      <w:pPr>
        <w:jc w:val="center"/>
      </w:pPr>
      <w:r w:rsidRPr="00CF48A1">
        <w:t xml:space="preserve">Figure </w:t>
      </w:r>
      <w:r w:rsidR="00A97DE8" w:rsidRPr="00CF48A1">
        <w:t>1</w:t>
      </w:r>
      <w:r w:rsidR="00D35C36" w:rsidRPr="00CF48A1">
        <w:t>7</w:t>
      </w:r>
      <w:r w:rsidR="00B238A2" w:rsidRPr="00CF48A1">
        <w:t xml:space="preserve"> </w:t>
      </w:r>
      <w:r w:rsidRPr="00CF48A1">
        <w:t>Répartition selon le besoin en formation</w:t>
      </w:r>
    </w:p>
    <w:p w14:paraId="4339D8F3" w14:textId="77777777" w:rsidR="00C70706" w:rsidRPr="00CF48A1" w:rsidRDefault="00C70706" w:rsidP="009A5599">
      <w:pPr>
        <w:jc w:val="both"/>
      </w:pPr>
    </w:p>
    <w:p w14:paraId="71113B25" w14:textId="1C7F9684" w:rsidR="00F23CBF" w:rsidRPr="00CF48A1" w:rsidRDefault="00664F6C" w:rsidP="000802CB">
      <w:pPr>
        <w:spacing w:line="360" w:lineRule="auto"/>
        <w:jc w:val="both"/>
      </w:pPr>
      <w:r w:rsidRPr="00CF48A1">
        <w:t>L</w:t>
      </w:r>
      <w:r w:rsidR="00C70706" w:rsidRPr="00CF48A1">
        <w:t xml:space="preserve">es réponses </w:t>
      </w:r>
      <w:r w:rsidRPr="00CF48A1">
        <w:t>des pharmaciens sur</w:t>
      </w:r>
      <w:r w:rsidR="00C70706" w:rsidRPr="00CF48A1">
        <w:t xml:space="preserve"> la question </w:t>
      </w:r>
      <w:r w:rsidRPr="00CF48A1">
        <w:t>« </w:t>
      </w:r>
      <w:r w:rsidR="00C70706" w:rsidRPr="00CF48A1">
        <w:t>besoin en formation</w:t>
      </w:r>
      <w:r w:rsidRPr="00CF48A1">
        <w:t xml:space="preserve"> sur les </w:t>
      </w:r>
      <w:r w:rsidR="00C70706" w:rsidRPr="00CF48A1">
        <w:t xml:space="preserve">inhibiteurs du SGLT2 </w:t>
      </w:r>
      <w:r w:rsidRPr="00CF48A1">
        <w:t xml:space="preserve">» </w:t>
      </w:r>
      <w:r w:rsidR="00C70706" w:rsidRPr="00CF48A1">
        <w:t xml:space="preserve">indiquent les éléments </w:t>
      </w:r>
      <w:r w:rsidR="000D004D" w:rsidRPr="00CF48A1">
        <w:t>suivants :</w:t>
      </w:r>
      <w:r w:rsidR="00C70706" w:rsidRPr="00CF48A1">
        <w:t xml:space="preserve"> </w:t>
      </w:r>
    </w:p>
    <w:p w14:paraId="347DCA6B" w14:textId="36ECA12B" w:rsidR="00B238A2" w:rsidRPr="00CF48A1" w:rsidRDefault="00136949" w:rsidP="00664F6C">
      <w:pPr>
        <w:spacing w:line="360" w:lineRule="auto"/>
        <w:jc w:val="both"/>
      </w:pPr>
      <w:r w:rsidRPr="00CF48A1">
        <w:t>-</w:t>
      </w:r>
      <w:r w:rsidR="00F23CBF" w:rsidRPr="00CF48A1">
        <w:t xml:space="preserve"> </w:t>
      </w:r>
      <w:r w:rsidR="00664F6C" w:rsidRPr="00CF48A1">
        <w:t xml:space="preserve">La majorité des participants (89.1%) estiment qu'il y a un besoin élevé à modéré de formation sur les inhibiteurs du SGLT2 : 44.2% "besoin élevé" et 44.9% </w:t>
      </w:r>
      <w:r w:rsidR="00C70706" w:rsidRPr="00CF48A1">
        <w:t xml:space="preserve">"besoin modéré". </w:t>
      </w:r>
    </w:p>
    <w:p w14:paraId="58CB363F" w14:textId="05AA8DEA" w:rsidR="00F23CBF" w:rsidRPr="00CF48A1" w:rsidRDefault="00C70706" w:rsidP="00C64175">
      <w:pPr>
        <w:spacing w:line="360" w:lineRule="auto"/>
        <w:jc w:val="both"/>
      </w:pPr>
      <w:r w:rsidRPr="00CF48A1">
        <w:t>-</w:t>
      </w:r>
      <w:r w:rsidR="00006734" w:rsidRPr="00CF48A1">
        <w:t>Une minorité</w:t>
      </w:r>
      <w:r w:rsidRPr="00CF48A1">
        <w:t xml:space="preserve"> </w:t>
      </w:r>
      <w:r w:rsidR="00006734" w:rsidRPr="00CF48A1">
        <w:t>(</w:t>
      </w:r>
      <w:r w:rsidRPr="00CF48A1">
        <w:t>10.9%</w:t>
      </w:r>
      <w:r w:rsidR="00006734" w:rsidRPr="00CF48A1">
        <w:t>)</w:t>
      </w:r>
      <w:r w:rsidRPr="00CF48A1">
        <w:t xml:space="preserve"> des pharmaciens </w:t>
      </w:r>
      <w:r w:rsidR="00006734" w:rsidRPr="00CF48A1">
        <w:t>considèrent</w:t>
      </w:r>
      <w:r w:rsidRPr="00CF48A1">
        <w:t xml:space="preserve"> qu'il n'y a "pas de besoin" de formation supplémentaire sur les inhibiteurs du SGLT2. </w:t>
      </w:r>
    </w:p>
    <w:p w14:paraId="2E3E4C4F" w14:textId="77777777" w:rsidR="00DB22CE" w:rsidRPr="00CF48A1" w:rsidRDefault="00DB22CE" w:rsidP="009A5599">
      <w:pPr>
        <w:jc w:val="both"/>
      </w:pPr>
    </w:p>
    <w:p w14:paraId="53C150B8" w14:textId="77777777" w:rsidR="00DD6807" w:rsidRPr="00CF48A1" w:rsidRDefault="00DD6807" w:rsidP="009A5599">
      <w:pPr>
        <w:jc w:val="both"/>
      </w:pPr>
    </w:p>
    <w:p w14:paraId="2511E799" w14:textId="77777777" w:rsidR="00DD6807" w:rsidRPr="00CF48A1" w:rsidRDefault="00DD6807" w:rsidP="009A5599">
      <w:pPr>
        <w:jc w:val="both"/>
      </w:pPr>
    </w:p>
    <w:p w14:paraId="72314B8D" w14:textId="77777777" w:rsidR="00DD6807" w:rsidRPr="00CF48A1" w:rsidRDefault="00DD6807" w:rsidP="009A5599">
      <w:pPr>
        <w:jc w:val="both"/>
      </w:pPr>
    </w:p>
    <w:p w14:paraId="06C186B3" w14:textId="77777777" w:rsidR="00DD6807" w:rsidRPr="00CF48A1" w:rsidRDefault="00DD6807" w:rsidP="009A5599">
      <w:pPr>
        <w:jc w:val="both"/>
      </w:pPr>
    </w:p>
    <w:p w14:paraId="7EC72474" w14:textId="77777777" w:rsidR="00DD6807" w:rsidRPr="00CF48A1" w:rsidRDefault="00DD6807" w:rsidP="009A5599">
      <w:pPr>
        <w:jc w:val="both"/>
      </w:pPr>
    </w:p>
    <w:p w14:paraId="6345C3A6" w14:textId="77777777" w:rsidR="00DD6807" w:rsidRPr="00CF48A1" w:rsidRDefault="00DD6807" w:rsidP="009A5599">
      <w:pPr>
        <w:jc w:val="both"/>
      </w:pPr>
    </w:p>
    <w:p w14:paraId="02F4950A" w14:textId="77777777" w:rsidR="00DD6807" w:rsidRPr="00CF48A1" w:rsidRDefault="00DD6807" w:rsidP="009A5599">
      <w:pPr>
        <w:jc w:val="both"/>
      </w:pPr>
    </w:p>
    <w:p w14:paraId="16D60A61" w14:textId="77777777" w:rsidR="00DD6807" w:rsidRPr="00CF48A1" w:rsidRDefault="00DD6807" w:rsidP="009A5599">
      <w:pPr>
        <w:jc w:val="both"/>
      </w:pPr>
    </w:p>
    <w:p w14:paraId="4DDC08E0" w14:textId="7C064019" w:rsidR="00C70706" w:rsidRPr="00CF48A1" w:rsidRDefault="00C70706" w:rsidP="009A5599">
      <w:pPr>
        <w:jc w:val="both"/>
      </w:pPr>
      <w:r w:rsidRPr="00CF48A1">
        <w:lastRenderedPageBreak/>
        <w:t>3.</w:t>
      </w:r>
      <w:r w:rsidR="00A97DE8" w:rsidRPr="00CF48A1">
        <w:t>6</w:t>
      </w:r>
      <w:r w:rsidR="00B238A2" w:rsidRPr="00CF48A1">
        <w:t xml:space="preserve">) </w:t>
      </w:r>
      <w:r w:rsidRPr="00CF48A1">
        <w:t xml:space="preserve">Les sources des informations </w:t>
      </w:r>
    </w:p>
    <w:p w14:paraId="6C3965FF" w14:textId="77777777" w:rsidR="00C70706" w:rsidRPr="00CF48A1" w:rsidRDefault="00C70706" w:rsidP="00C70706">
      <w:pPr>
        <w:jc w:val="both"/>
      </w:pPr>
    </w:p>
    <w:p w14:paraId="710AD75A" w14:textId="77777777" w:rsidR="00C70706" w:rsidRPr="00CF48A1" w:rsidRDefault="00C70706" w:rsidP="00C02018">
      <w:pPr>
        <w:jc w:val="right"/>
      </w:pPr>
      <w:r w:rsidRPr="00CF48A1">
        <w:rPr>
          <w:noProof/>
          <w:lang w:eastAsia="fr-FR"/>
        </w:rPr>
        <w:drawing>
          <wp:inline distT="0" distB="0" distL="0" distR="0" wp14:anchorId="4D5F3825" wp14:editId="58F9C2D3">
            <wp:extent cx="3968826" cy="2625437"/>
            <wp:effectExtent l="0" t="0" r="0" b="0"/>
            <wp:docPr id="1128391338"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80266" cy="2633005"/>
                    </a:xfrm>
                    <a:prstGeom prst="rect">
                      <a:avLst/>
                    </a:prstGeom>
                    <a:noFill/>
                    <a:ln>
                      <a:noFill/>
                    </a:ln>
                  </pic:spPr>
                </pic:pic>
              </a:graphicData>
            </a:graphic>
          </wp:inline>
        </w:drawing>
      </w:r>
    </w:p>
    <w:p w14:paraId="47F4914E" w14:textId="1EE76F6B" w:rsidR="00C70706" w:rsidRPr="00CF48A1" w:rsidRDefault="00C02018" w:rsidP="00C02018">
      <w:pPr>
        <w:jc w:val="center"/>
      </w:pPr>
      <w:r w:rsidRPr="00CF48A1">
        <w:t xml:space="preserve">       </w:t>
      </w:r>
      <w:r w:rsidR="00C70706" w:rsidRPr="00CF48A1">
        <w:t xml:space="preserve">Figure </w:t>
      </w:r>
      <w:r w:rsidR="00A97DE8" w:rsidRPr="00CF48A1">
        <w:t>1</w:t>
      </w:r>
      <w:r w:rsidR="00D35C36" w:rsidRPr="00CF48A1">
        <w:t>8</w:t>
      </w:r>
      <w:r w:rsidR="00B238A2" w:rsidRPr="00CF48A1">
        <w:t xml:space="preserve"> </w:t>
      </w:r>
      <w:r w:rsidR="00C70706" w:rsidRPr="00CF48A1">
        <w:t>Répartition selon les sources des informations</w:t>
      </w:r>
    </w:p>
    <w:p w14:paraId="0C772FB0" w14:textId="77777777" w:rsidR="00B238A2" w:rsidRPr="00CF48A1" w:rsidRDefault="00B238A2" w:rsidP="00B238A2">
      <w:pPr>
        <w:jc w:val="center"/>
      </w:pPr>
    </w:p>
    <w:p w14:paraId="18FC0FBD" w14:textId="3CE4F83D" w:rsidR="00C02018" w:rsidRPr="00CF48A1" w:rsidRDefault="00664F6C" w:rsidP="00B238A2">
      <w:pPr>
        <w:spacing w:line="360" w:lineRule="auto"/>
        <w:jc w:val="both"/>
      </w:pPr>
      <w:r w:rsidRPr="00CF48A1">
        <w:t xml:space="preserve">Les </w:t>
      </w:r>
      <w:r w:rsidR="00C02018" w:rsidRPr="00CF48A1">
        <w:t xml:space="preserve">réponses des </w:t>
      </w:r>
      <w:r w:rsidRPr="00CF48A1">
        <w:t xml:space="preserve">participants </w:t>
      </w:r>
      <w:r w:rsidR="00C02018" w:rsidRPr="00CF48A1">
        <w:t>à</w:t>
      </w:r>
      <w:r w:rsidRPr="00CF48A1">
        <w:t xml:space="preserve"> la question sur </w:t>
      </w:r>
      <w:r w:rsidR="00E65EB1" w:rsidRPr="00CF48A1">
        <w:t>le</w:t>
      </w:r>
      <w:r w:rsidR="00EB7A5D" w:rsidRPr="00CF48A1">
        <w:t>urs</w:t>
      </w:r>
      <w:r w:rsidR="00E65EB1" w:rsidRPr="00CF48A1">
        <w:t xml:space="preserve"> sources d'information concernant les inhibiteurs du SGLT</w:t>
      </w:r>
      <w:r w:rsidR="00C02018" w:rsidRPr="00CF48A1">
        <w:t>2, indiquent</w:t>
      </w:r>
      <w:r w:rsidR="00E65EB1" w:rsidRPr="00CF48A1">
        <w:t xml:space="preserve"> les tendances </w:t>
      </w:r>
      <w:r w:rsidR="00EB7A5D" w:rsidRPr="00CF48A1">
        <w:t>suivantes :</w:t>
      </w:r>
      <w:r w:rsidR="00E65EB1" w:rsidRPr="00CF48A1">
        <w:t xml:space="preserve"> </w:t>
      </w:r>
    </w:p>
    <w:p w14:paraId="536D17F4" w14:textId="7B9438D6" w:rsidR="00F23CBF" w:rsidRPr="00CF48A1" w:rsidRDefault="00E65EB1" w:rsidP="00C828D9">
      <w:pPr>
        <w:spacing w:line="360" w:lineRule="auto"/>
        <w:jc w:val="both"/>
      </w:pPr>
      <w:r w:rsidRPr="00CF48A1">
        <w:t xml:space="preserve">-La principale source d'information pour les pharmaciens est les sites web médicaux et pharmaceutiques, avec </w:t>
      </w:r>
      <w:r w:rsidR="00C828D9" w:rsidRPr="00CF48A1">
        <w:t xml:space="preserve">un pourcentage de </w:t>
      </w:r>
      <w:r w:rsidRPr="00CF48A1">
        <w:t>35.4%</w:t>
      </w:r>
      <w:r w:rsidR="00C828D9" w:rsidRPr="00CF48A1">
        <w:t>.</w:t>
      </w:r>
    </w:p>
    <w:p w14:paraId="1B3CBB24" w14:textId="6F3E6B92" w:rsidR="00B238A2" w:rsidRPr="00CF48A1" w:rsidRDefault="00E65EB1" w:rsidP="00B238A2">
      <w:pPr>
        <w:spacing w:line="360" w:lineRule="auto"/>
        <w:jc w:val="both"/>
      </w:pPr>
      <w:r w:rsidRPr="00CF48A1">
        <w:t xml:space="preserve">-Les revues médicales sont également une source importante, avec </w:t>
      </w:r>
      <w:r w:rsidR="00C02018" w:rsidRPr="00CF48A1">
        <w:t xml:space="preserve">presque le même pourcentage soit </w:t>
      </w:r>
      <w:r w:rsidRPr="00CF48A1">
        <w:t xml:space="preserve">33.3% des pharmaciens </w:t>
      </w:r>
      <w:r w:rsidR="00C828D9" w:rsidRPr="00CF48A1">
        <w:t xml:space="preserve">qui </w:t>
      </w:r>
      <w:r w:rsidRPr="00CF48A1">
        <w:t>utilisant ce</w:t>
      </w:r>
      <w:r w:rsidR="00C828D9" w:rsidRPr="00CF48A1">
        <w:t>tte source</w:t>
      </w:r>
      <w:r w:rsidRPr="00CF48A1">
        <w:t xml:space="preserve"> comme moyen d'obtenir des informations sur les inhibiteurs du SGLT2. </w:t>
      </w:r>
    </w:p>
    <w:p w14:paraId="03E42335" w14:textId="05E4B312" w:rsidR="00B238A2" w:rsidRPr="00CF48A1" w:rsidRDefault="00E65EB1" w:rsidP="00C828D9">
      <w:pPr>
        <w:spacing w:line="360" w:lineRule="auto"/>
        <w:jc w:val="both"/>
      </w:pPr>
      <w:r w:rsidRPr="00CF48A1">
        <w:t xml:space="preserve">-Une </w:t>
      </w:r>
      <w:r w:rsidR="00C02018" w:rsidRPr="00CF48A1">
        <w:t xml:space="preserve">faible </w:t>
      </w:r>
      <w:r w:rsidRPr="00CF48A1">
        <w:t>proportion de 20.4% se tourne vers les délégués pharmaceutiques pour obtenir des informations sur les inhibiteurs du SGLT2.</w:t>
      </w:r>
    </w:p>
    <w:p w14:paraId="0C59B0B9" w14:textId="57E907BC" w:rsidR="00717BAB" w:rsidRPr="00CF48A1" w:rsidRDefault="00E65EB1" w:rsidP="00C828D9">
      <w:pPr>
        <w:spacing w:line="360" w:lineRule="auto"/>
        <w:jc w:val="both"/>
      </w:pPr>
      <w:r w:rsidRPr="00CF48A1">
        <w:t>-Une minorité</w:t>
      </w:r>
      <w:r w:rsidR="00C828D9" w:rsidRPr="00CF48A1">
        <w:t xml:space="preserve"> (</w:t>
      </w:r>
      <w:r w:rsidRPr="00CF48A1">
        <w:t>10.9%</w:t>
      </w:r>
      <w:r w:rsidR="00C828D9" w:rsidRPr="00CF48A1">
        <w:t>)</w:t>
      </w:r>
      <w:r w:rsidRPr="00CF48A1">
        <w:t xml:space="preserve"> utilise des formations universitaires payantes comme source d'information.</w:t>
      </w:r>
    </w:p>
    <w:p w14:paraId="78EDABF0" w14:textId="77777777" w:rsidR="00307F9E" w:rsidRPr="00CF48A1" w:rsidRDefault="00307F9E" w:rsidP="00B238A2">
      <w:pPr>
        <w:spacing w:line="360" w:lineRule="auto"/>
        <w:jc w:val="both"/>
        <w:rPr>
          <w:i/>
          <w:iCs/>
          <w:u w:val="single"/>
        </w:rPr>
      </w:pPr>
      <w:r w:rsidRPr="00CF48A1">
        <w:rPr>
          <w:i/>
          <w:iCs/>
          <w:u w:val="single"/>
        </w:rPr>
        <w:t>4</w:t>
      </w:r>
      <w:r w:rsidR="00B238A2" w:rsidRPr="00CF48A1">
        <w:rPr>
          <w:i/>
          <w:iCs/>
          <w:u w:val="single"/>
        </w:rPr>
        <w:t>)</w:t>
      </w:r>
      <w:r w:rsidR="007E7D1A" w:rsidRPr="00CF48A1">
        <w:rPr>
          <w:i/>
          <w:iCs/>
          <w:u w:val="single"/>
        </w:rPr>
        <w:t xml:space="preserve"> </w:t>
      </w:r>
      <w:r w:rsidRPr="00CF48A1">
        <w:rPr>
          <w:i/>
          <w:iCs/>
          <w:u w:val="single"/>
        </w:rPr>
        <w:t xml:space="preserve">Les facteurs influençant le niveau de connaissance des pharmaciens concernant les inhibiteurs SGLT2 </w:t>
      </w:r>
    </w:p>
    <w:p w14:paraId="47785209" w14:textId="77777777" w:rsidR="00553D0B" w:rsidRPr="00CF48A1" w:rsidRDefault="00553D0B" w:rsidP="00B238A2">
      <w:pPr>
        <w:spacing w:line="360" w:lineRule="auto"/>
        <w:jc w:val="both"/>
        <w:rPr>
          <w:i/>
          <w:iCs/>
          <w:u w:val="single"/>
        </w:rPr>
      </w:pPr>
    </w:p>
    <w:p w14:paraId="50EA1E1B" w14:textId="77777777" w:rsidR="00E170BC" w:rsidRPr="00CF48A1" w:rsidRDefault="00307F9E" w:rsidP="00B238A2">
      <w:pPr>
        <w:spacing w:line="360" w:lineRule="auto"/>
        <w:jc w:val="both"/>
      </w:pPr>
      <w:r w:rsidRPr="00CF48A1">
        <w:t>4.1</w:t>
      </w:r>
      <w:r w:rsidR="00B238A2" w:rsidRPr="00CF48A1">
        <w:t xml:space="preserve">) </w:t>
      </w:r>
      <w:r w:rsidRPr="00CF48A1">
        <w:t xml:space="preserve">Les facteurs </w:t>
      </w:r>
      <w:r w:rsidR="00B21983" w:rsidRPr="00CF48A1">
        <w:t>à</w:t>
      </w:r>
      <w:r w:rsidRPr="00CF48A1">
        <w:t xml:space="preserve"> deux groupes</w:t>
      </w:r>
      <w:r w:rsidR="00E170BC" w:rsidRPr="00CF48A1">
        <w:t> :</w:t>
      </w:r>
    </w:p>
    <w:p w14:paraId="4091DED4" w14:textId="77777777" w:rsidR="007E7D1A" w:rsidRPr="00CF48A1" w:rsidRDefault="00307F9E" w:rsidP="00B238A2">
      <w:pPr>
        <w:spacing w:line="360" w:lineRule="auto"/>
        <w:jc w:val="both"/>
      </w:pPr>
      <w:r w:rsidRPr="00CF48A1">
        <w:t xml:space="preserve">Une analyse statistique des données par test de </w:t>
      </w:r>
      <w:proofErr w:type="spellStart"/>
      <w:r w:rsidRPr="00CF48A1">
        <w:t>Student</w:t>
      </w:r>
      <w:proofErr w:type="spellEnd"/>
      <w:r w:rsidRPr="00CF48A1">
        <w:t xml:space="preserve"> à deux échantillons indépendants a été effectuée pour étudier les différences dans le score de connaissance en fonction des caractéristiques démographiques et professionnelles qui peuvent influencer niveau de connaissance des pharmaciens participants </w:t>
      </w:r>
    </w:p>
    <w:p w14:paraId="2B9443EC" w14:textId="77777777" w:rsidR="00553D0B" w:rsidRPr="00CF48A1" w:rsidRDefault="00553D0B" w:rsidP="00B238A2">
      <w:pPr>
        <w:spacing w:line="360" w:lineRule="auto"/>
        <w:jc w:val="both"/>
      </w:pPr>
    </w:p>
    <w:p w14:paraId="4B438B02" w14:textId="77777777" w:rsidR="00553D0B" w:rsidRPr="00CF48A1" w:rsidRDefault="00553D0B" w:rsidP="00B238A2">
      <w:pPr>
        <w:spacing w:line="360" w:lineRule="auto"/>
        <w:jc w:val="both"/>
      </w:pPr>
    </w:p>
    <w:p w14:paraId="45FFF19E" w14:textId="100D25DE" w:rsidR="00221C99" w:rsidRPr="00CF48A1" w:rsidRDefault="00307F9E" w:rsidP="00221C99">
      <w:pPr>
        <w:jc w:val="center"/>
      </w:pPr>
      <w:r w:rsidRPr="00CF48A1">
        <w:lastRenderedPageBreak/>
        <w:t xml:space="preserve">Tableau </w:t>
      </w:r>
      <w:r w:rsidR="00D35C36" w:rsidRPr="00CF48A1">
        <w:t>5</w:t>
      </w:r>
      <w:r w:rsidR="000D004D">
        <w:t xml:space="preserve"> </w:t>
      </w:r>
      <w:r w:rsidRPr="00CF48A1">
        <w:t>: La relation entre le score de connaissance</w:t>
      </w:r>
      <w:r w:rsidR="00221C99" w:rsidRPr="00CF48A1">
        <w:t xml:space="preserve"> et </w:t>
      </w:r>
      <w:r w:rsidR="00913F5D" w:rsidRPr="00CF48A1">
        <w:t xml:space="preserve">les facteurs </w:t>
      </w:r>
      <w:r w:rsidR="006378DF" w:rsidRPr="00CF48A1">
        <w:t>démographiques et professionnelles</w:t>
      </w:r>
    </w:p>
    <w:tbl>
      <w:tblPr>
        <w:tblW w:w="9458" w:type="dxa"/>
        <w:tblInd w:w="80" w:type="dxa"/>
        <w:tblCellMar>
          <w:left w:w="70" w:type="dxa"/>
          <w:right w:w="70" w:type="dxa"/>
        </w:tblCellMar>
        <w:tblLook w:val="04A0" w:firstRow="1" w:lastRow="0" w:firstColumn="1" w:lastColumn="0" w:noHBand="0" w:noVBand="1"/>
      </w:tblPr>
      <w:tblGrid>
        <w:gridCol w:w="1603"/>
        <w:gridCol w:w="2009"/>
        <w:gridCol w:w="1874"/>
        <w:gridCol w:w="1128"/>
        <w:gridCol w:w="1445"/>
        <w:gridCol w:w="1399"/>
      </w:tblGrid>
      <w:tr w:rsidR="00221C99" w:rsidRPr="00CF48A1" w14:paraId="2C6CD642" w14:textId="77777777" w:rsidTr="00221C99">
        <w:trPr>
          <w:trHeight w:val="649"/>
        </w:trPr>
        <w:tc>
          <w:tcPr>
            <w:tcW w:w="16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F6EF8A"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 xml:space="preserve">Facteur  </w:t>
            </w:r>
          </w:p>
        </w:tc>
        <w:tc>
          <w:tcPr>
            <w:tcW w:w="2009" w:type="dxa"/>
            <w:tcBorders>
              <w:top w:val="single" w:sz="8" w:space="0" w:color="auto"/>
              <w:left w:val="nil"/>
              <w:bottom w:val="single" w:sz="8" w:space="0" w:color="auto"/>
              <w:right w:val="single" w:sz="8" w:space="0" w:color="auto"/>
            </w:tcBorders>
            <w:shd w:val="clear" w:color="auto" w:fill="auto"/>
            <w:vAlign w:val="center"/>
            <w:hideMark/>
          </w:tcPr>
          <w:p w14:paraId="0D503BF4"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Les groupes</w:t>
            </w:r>
          </w:p>
        </w:tc>
        <w:tc>
          <w:tcPr>
            <w:tcW w:w="1874" w:type="dxa"/>
            <w:tcBorders>
              <w:top w:val="single" w:sz="8" w:space="0" w:color="auto"/>
              <w:left w:val="nil"/>
              <w:bottom w:val="single" w:sz="8" w:space="0" w:color="auto"/>
              <w:right w:val="single" w:sz="8" w:space="0" w:color="auto"/>
            </w:tcBorders>
            <w:shd w:val="clear" w:color="auto" w:fill="auto"/>
            <w:vAlign w:val="center"/>
            <w:hideMark/>
          </w:tcPr>
          <w:p w14:paraId="5A18C9AB" w14:textId="053CFEF1" w:rsidR="00221C99" w:rsidRPr="00CF48A1" w:rsidRDefault="00221C99" w:rsidP="00221C99">
            <w:pPr>
              <w:jc w:val="center"/>
              <w:rPr>
                <w:rFonts w:eastAsia="Times New Roman"/>
                <w:color w:val="000000"/>
                <w:lang w:eastAsia="fr-FR"/>
              </w:rPr>
            </w:pPr>
            <w:r w:rsidRPr="00CF48A1">
              <w:rPr>
                <w:rFonts w:eastAsia="Times New Roman"/>
                <w:color w:val="000000"/>
                <w:lang w:eastAsia="fr-FR"/>
              </w:rPr>
              <w:t>Moyenne</w:t>
            </w:r>
            <w:r w:rsidR="000D004D">
              <w:rPr>
                <w:rFonts w:eastAsia="Times New Roman"/>
                <w:color w:val="000000"/>
                <w:lang w:eastAsia="fr-FR"/>
              </w:rPr>
              <w:t xml:space="preserve"> </w:t>
            </w:r>
            <w:r w:rsidRPr="00CF48A1">
              <w:rPr>
                <w:rFonts w:eastAsia="Times New Roman"/>
                <w:color w:val="000000"/>
                <w:lang w:eastAsia="fr-FR"/>
              </w:rPr>
              <w:t>(écart types)</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14:paraId="03FD90A6"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 xml:space="preserve">T </w:t>
            </w:r>
          </w:p>
        </w:tc>
        <w:tc>
          <w:tcPr>
            <w:tcW w:w="1445" w:type="dxa"/>
            <w:tcBorders>
              <w:top w:val="single" w:sz="8" w:space="0" w:color="auto"/>
              <w:left w:val="nil"/>
              <w:bottom w:val="single" w:sz="8" w:space="0" w:color="auto"/>
              <w:right w:val="single" w:sz="8" w:space="0" w:color="auto"/>
            </w:tcBorders>
            <w:shd w:val="clear" w:color="auto" w:fill="auto"/>
            <w:vAlign w:val="center"/>
            <w:hideMark/>
          </w:tcPr>
          <w:p w14:paraId="31A2D685"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 xml:space="preserve">Degré de liberté </w:t>
            </w:r>
          </w:p>
        </w:tc>
        <w:tc>
          <w:tcPr>
            <w:tcW w:w="1399" w:type="dxa"/>
            <w:tcBorders>
              <w:top w:val="single" w:sz="8" w:space="0" w:color="auto"/>
              <w:left w:val="nil"/>
              <w:bottom w:val="single" w:sz="8" w:space="0" w:color="auto"/>
              <w:right w:val="single" w:sz="8" w:space="0" w:color="auto"/>
            </w:tcBorders>
            <w:shd w:val="clear" w:color="auto" w:fill="auto"/>
            <w:vAlign w:val="center"/>
            <w:hideMark/>
          </w:tcPr>
          <w:p w14:paraId="4F0C7838"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Valeur p</w:t>
            </w:r>
          </w:p>
        </w:tc>
      </w:tr>
      <w:tr w:rsidR="00221C99" w:rsidRPr="00CF48A1" w14:paraId="7E88CD0D" w14:textId="77777777" w:rsidTr="00221C99">
        <w:trPr>
          <w:trHeight w:val="649"/>
        </w:trPr>
        <w:tc>
          <w:tcPr>
            <w:tcW w:w="1603" w:type="dxa"/>
            <w:vMerge w:val="restart"/>
            <w:tcBorders>
              <w:top w:val="nil"/>
              <w:left w:val="single" w:sz="8" w:space="0" w:color="auto"/>
              <w:bottom w:val="single" w:sz="8" w:space="0" w:color="000000"/>
              <w:right w:val="single" w:sz="8" w:space="0" w:color="auto"/>
            </w:tcBorders>
            <w:shd w:val="clear" w:color="auto" w:fill="auto"/>
            <w:vAlign w:val="center"/>
            <w:hideMark/>
          </w:tcPr>
          <w:p w14:paraId="66647A9D"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Age</w:t>
            </w:r>
          </w:p>
        </w:tc>
        <w:tc>
          <w:tcPr>
            <w:tcW w:w="2009" w:type="dxa"/>
            <w:tcBorders>
              <w:top w:val="nil"/>
              <w:left w:val="nil"/>
              <w:bottom w:val="single" w:sz="8" w:space="0" w:color="auto"/>
              <w:right w:val="single" w:sz="8" w:space="0" w:color="auto"/>
            </w:tcBorders>
            <w:shd w:val="clear" w:color="auto" w:fill="auto"/>
            <w:vAlign w:val="center"/>
            <w:hideMark/>
          </w:tcPr>
          <w:p w14:paraId="37C0D4AB"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 xml:space="preserve">Inferieur a 32 </w:t>
            </w:r>
          </w:p>
        </w:tc>
        <w:tc>
          <w:tcPr>
            <w:tcW w:w="1874" w:type="dxa"/>
            <w:tcBorders>
              <w:top w:val="nil"/>
              <w:left w:val="nil"/>
              <w:bottom w:val="single" w:sz="8" w:space="0" w:color="auto"/>
              <w:right w:val="single" w:sz="8" w:space="0" w:color="auto"/>
            </w:tcBorders>
            <w:shd w:val="clear" w:color="auto" w:fill="auto"/>
            <w:vAlign w:val="center"/>
            <w:hideMark/>
          </w:tcPr>
          <w:p w14:paraId="7BAB72B8"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 xml:space="preserve">6.49(3.11)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7B5CEB6F"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 xml:space="preserve"> 2.2</w:t>
            </w:r>
          </w:p>
        </w:tc>
        <w:tc>
          <w:tcPr>
            <w:tcW w:w="1445" w:type="dxa"/>
            <w:vMerge w:val="restart"/>
            <w:tcBorders>
              <w:top w:val="nil"/>
              <w:left w:val="single" w:sz="8" w:space="0" w:color="auto"/>
              <w:bottom w:val="single" w:sz="8" w:space="0" w:color="000000"/>
              <w:right w:val="single" w:sz="8" w:space="0" w:color="auto"/>
            </w:tcBorders>
            <w:shd w:val="clear" w:color="auto" w:fill="auto"/>
            <w:vAlign w:val="center"/>
            <w:hideMark/>
          </w:tcPr>
          <w:p w14:paraId="36C1056C"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145</w:t>
            </w:r>
          </w:p>
        </w:tc>
        <w:tc>
          <w:tcPr>
            <w:tcW w:w="1399" w:type="dxa"/>
            <w:vMerge w:val="restart"/>
            <w:tcBorders>
              <w:top w:val="nil"/>
              <w:left w:val="single" w:sz="8" w:space="0" w:color="auto"/>
              <w:bottom w:val="single" w:sz="8" w:space="0" w:color="000000"/>
              <w:right w:val="single" w:sz="8" w:space="0" w:color="auto"/>
            </w:tcBorders>
            <w:shd w:val="clear" w:color="auto" w:fill="auto"/>
            <w:vAlign w:val="center"/>
            <w:hideMark/>
          </w:tcPr>
          <w:p w14:paraId="25F9E311"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0.049</w:t>
            </w:r>
          </w:p>
        </w:tc>
      </w:tr>
      <w:tr w:rsidR="00221C99" w:rsidRPr="00CF48A1" w14:paraId="71BFACC2" w14:textId="77777777" w:rsidTr="00221C99">
        <w:trPr>
          <w:trHeight w:val="649"/>
        </w:trPr>
        <w:tc>
          <w:tcPr>
            <w:tcW w:w="1603" w:type="dxa"/>
            <w:vMerge/>
            <w:tcBorders>
              <w:top w:val="nil"/>
              <w:left w:val="single" w:sz="8" w:space="0" w:color="auto"/>
              <w:bottom w:val="single" w:sz="8" w:space="0" w:color="000000"/>
              <w:right w:val="single" w:sz="8" w:space="0" w:color="auto"/>
            </w:tcBorders>
            <w:vAlign w:val="center"/>
            <w:hideMark/>
          </w:tcPr>
          <w:p w14:paraId="612F6FAB" w14:textId="77777777" w:rsidR="00221C99" w:rsidRPr="00CF48A1" w:rsidRDefault="00221C99" w:rsidP="00221C99">
            <w:pPr>
              <w:rPr>
                <w:rFonts w:eastAsia="Times New Roman"/>
                <w:color w:val="000000"/>
                <w:lang w:eastAsia="fr-FR"/>
              </w:rPr>
            </w:pPr>
          </w:p>
        </w:tc>
        <w:tc>
          <w:tcPr>
            <w:tcW w:w="2009" w:type="dxa"/>
            <w:tcBorders>
              <w:top w:val="nil"/>
              <w:left w:val="nil"/>
              <w:bottom w:val="single" w:sz="8" w:space="0" w:color="auto"/>
              <w:right w:val="single" w:sz="8" w:space="0" w:color="auto"/>
            </w:tcBorders>
            <w:shd w:val="clear" w:color="auto" w:fill="auto"/>
            <w:vAlign w:val="center"/>
            <w:hideMark/>
          </w:tcPr>
          <w:p w14:paraId="73DBEE60"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32 ans ou plus</w:t>
            </w:r>
          </w:p>
        </w:tc>
        <w:tc>
          <w:tcPr>
            <w:tcW w:w="1874" w:type="dxa"/>
            <w:tcBorders>
              <w:top w:val="nil"/>
              <w:left w:val="nil"/>
              <w:bottom w:val="single" w:sz="8" w:space="0" w:color="auto"/>
              <w:right w:val="single" w:sz="8" w:space="0" w:color="auto"/>
            </w:tcBorders>
            <w:shd w:val="clear" w:color="auto" w:fill="auto"/>
            <w:vAlign w:val="center"/>
            <w:hideMark/>
          </w:tcPr>
          <w:p w14:paraId="5754D15C"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5.77(3.17)</w:t>
            </w:r>
          </w:p>
        </w:tc>
        <w:tc>
          <w:tcPr>
            <w:tcW w:w="1128" w:type="dxa"/>
            <w:vMerge/>
            <w:tcBorders>
              <w:top w:val="nil"/>
              <w:left w:val="single" w:sz="8" w:space="0" w:color="auto"/>
              <w:bottom w:val="single" w:sz="8" w:space="0" w:color="000000"/>
              <w:right w:val="single" w:sz="8" w:space="0" w:color="auto"/>
            </w:tcBorders>
            <w:vAlign w:val="center"/>
            <w:hideMark/>
          </w:tcPr>
          <w:p w14:paraId="6BF09341" w14:textId="77777777" w:rsidR="00221C99" w:rsidRPr="00CF48A1" w:rsidRDefault="00221C99" w:rsidP="00221C99">
            <w:pPr>
              <w:rPr>
                <w:rFonts w:eastAsia="Times New Roman"/>
                <w:color w:val="000000"/>
                <w:lang w:eastAsia="fr-FR"/>
              </w:rPr>
            </w:pPr>
          </w:p>
        </w:tc>
        <w:tc>
          <w:tcPr>
            <w:tcW w:w="1445" w:type="dxa"/>
            <w:vMerge/>
            <w:tcBorders>
              <w:top w:val="nil"/>
              <w:left w:val="single" w:sz="8" w:space="0" w:color="auto"/>
              <w:bottom w:val="single" w:sz="8" w:space="0" w:color="000000"/>
              <w:right w:val="single" w:sz="8" w:space="0" w:color="auto"/>
            </w:tcBorders>
            <w:vAlign w:val="center"/>
            <w:hideMark/>
          </w:tcPr>
          <w:p w14:paraId="074E26D8" w14:textId="77777777" w:rsidR="00221C99" w:rsidRPr="00CF48A1" w:rsidRDefault="00221C99" w:rsidP="00221C99">
            <w:pPr>
              <w:rPr>
                <w:rFonts w:eastAsia="Times New Roman"/>
                <w:color w:val="000000"/>
                <w:lang w:eastAsia="fr-FR"/>
              </w:rPr>
            </w:pPr>
          </w:p>
        </w:tc>
        <w:tc>
          <w:tcPr>
            <w:tcW w:w="1399" w:type="dxa"/>
            <w:vMerge/>
            <w:tcBorders>
              <w:top w:val="nil"/>
              <w:left w:val="single" w:sz="8" w:space="0" w:color="auto"/>
              <w:bottom w:val="single" w:sz="8" w:space="0" w:color="000000"/>
              <w:right w:val="single" w:sz="8" w:space="0" w:color="auto"/>
            </w:tcBorders>
            <w:vAlign w:val="center"/>
            <w:hideMark/>
          </w:tcPr>
          <w:p w14:paraId="5C34D441" w14:textId="77777777" w:rsidR="00221C99" w:rsidRPr="00CF48A1" w:rsidRDefault="00221C99" w:rsidP="00221C99">
            <w:pPr>
              <w:rPr>
                <w:rFonts w:eastAsia="Times New Roman"/>
                <w:color w:val="000000"/>
                <w:lang w:eastAsia="fr-FR"/>
              </w:rPr>
            </w:pPr>
          </w:p>
        </w:tc>
      </w:tr>
      <w:tr w:rsidR="00221C99" w:rsidRPr="00CF48A1" w14:paraId="212C0611" w14:textId="77777777" w:rsidTr="00221C99">
        <w:trPr>
          <w:trHeight w:val="330"/>
        </w:trPr>
        <w:tc>
          <w:tcPr>
            <w:tcW w:w="1603" w:type="dxa"/>
            <w:vMerge w:val="restart"/>
            <w:tcBorders>
              <w:top w:val="nil"/>
              <w:left w:val="single" w:sz="8" w:space="0" w:color="auto"/>
              <w:bottom w:val="single" w:sz="8" w:space="0" w:color="000000"/>
              <w:right w:val="single" w:sz="8" w:space="0" w:color="auto"/>
            </w:tcBorders>
            <w:shd w:val="clear" w:color="auto" w:fill="auto"/>
            <w:vAlign w:val="center"/>
            <w:hideMark/>
          </w:tcPr>
          <w:p w14:paraId="615384F0"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Le sexe</w:t>
            </w:r>
          </w:p>
        </w:tc>
        <w:tc>
          <w:tcPr>
            <w:tcW w:w="2009" w:type="dxa"/>
            <w:tcBorders>
              <w:top w:val="nil"/>
              <w:left w:val="nil"/>
              <w:bottom w:val="single" w:sz="8" w:space="0" w:color="auto"/>
              <w:right w:val="single" w:sz="8" w:space="0" w:color="auto"/>
            </w:tcBorders>
            <w:shd w:val="clear" w:color="auto" w:fill="auto"/>
            <w:vAlign w:val="center"/>
            <w:hideMark/>
          </w:tcPr>
          <w:p w14:paraId="5C1FCBC5"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Homme</w:t>
            </w:r>
          </w:p>
        </w:tc>
        <w:tc>
          <w:tcPr>
            <w:tcW w:w="1874" w:type="dxa"/>
            <w:tcBorders>
              <w:top w:val="nil"/>
              <w:left w:val="nil"/>
              <w:bottom w:val="single" w:sz="8" w:space="0" w:color="auto"/>
              <w:right w:val="single" w:sz="8" w:space="0" w:color="auto"/>
            </w:tcBorders>
            <w:shd w:val="clear" w:color="auto" w:fill="auto"/>
            <w:vAlign w:val="center"/>
            <w:hideMark/>
          </w:tcPr>
          <w:p w14:paraId="4AD92393"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6.51 (3.07)</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0736A489"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1.48</w:t>
            </w:r>
          </w:p>
        </w:tc>
        <w:tc>
          <w:tcPr>
            <w:tcW w:w="1445" w:type="dxa"/>
            <w:vMerge w:val="restart"/>
            <w:tcBorders>
              <w:top w:val="nil"/>
              <w:left w:val="single" w:sz="8" w:space="0" w:color="auto"/>
              <w:bottom w:val="single" w:sz="8" w:space="0" w:color="000000"/>
              <w:right w:val="single" w:sz="8" w:space="0" w:color="auto"/>
            </w:tcBorders>
            <w:shd w:val="clear" w:color="auto" w:fill="auto"/>
            <w:vAlign w:val="center"/>
            <w:hideMark/>
          </w:tcPr>
          <w:p w14:paraId="5652BEFC"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145</w:t>
            </w:r>
          </w:p>
        </w:tc>
        <w:tc>
          <w:tcPr>
            <w:tcW w:w="1399" w:type="dxa"/>
            <w:vMerge w:val="restart"/>
            <w:tcBorders>
              <w:top w:val="nil"/>
              <w:left w:val="single" w:sz="8" w:space="0" w:color="auto"/>
              <w:bottom w:val="single" w:sz="8" w:space="0" w:color="000000"/>
              <w:right w:val="single" w:sz="8" w:space="0" w:color="auto"/>
            </w:tcBorders>
            <w:shd w:val="clear" w:color="auto" w:fill="auto"/>
            <w:vAlign w:val="center"/>
            <w:hideMark/>
          </w:tcPr>
          <w:p w14:paraId="3F75B19F"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0.14</w:t>
            </w:r>
          </w:p>
        </w:tc>
      </w:tr>
      <w:tr w:rsidR="00221C99" w:rsidRPr="00CF48A1" w14:paraId="78427B24" w14:textId="77777777" w:rsidTr="00221C99">
        <w:trPr>
          <w:trHeight w:val="330"/>
        </w:trPr>
        <w:tc>
          <w:tcPr>
            <w:tcW w:w="1603" w:type="dxa"/>
            <w:vMerge/>
            <w:tcBorders>
              <w:top w:val="nil"/>
              <w:left w:val="single" w:sz="8" w:space="0" w:color="auto"/>
              <w:bottom w:val="single" w:sz="8" w:space="0" w:color="000000"/>
              <w:right w:val="single" w:sz="8" w:space="0" w:color="auto"/>
            </w:tcBorders>
            <w:vAlign w:val="center"/>
            <w:hideMark/>
          </w:tcPr>
          <w:p w14:paraId="30F183D5" w14:textId="77777777" w:rsidR="00221C99" w:rsidRPr="00CF48A1" w:rsidRDefault="00221C99" w:rsidP="00221C99">
            <w:pPr>
              <w:rPr>
                <w:rFonts w:eastAsia="Times New Roman"/>
                <w:color w:val="000000"/>
                <w:lang w:eastAsia="fr-FR"/>
              </w:rPr>
            </w:pPr>
          </w:p>
        </w:tc>
        <w:tc>
          <w:tcPr>
            <w:tcW w:w="2009" w:type="dxa"/>
            <w:tcBorders>
              <w:top w:val="nil"/>
              <w:left w:val="nil"/>
              <w:bottom w:val="single" w:sz="8" w:space="0" w:color="auto"/>
              <w:right w:val="single" w:sz="8" w:space="0" w:color="auto"/>
            </w:tcBorders>
            <w:shd w:val="clear" w:color="auto" w:fill="auto"/>
            <w:vAlign w:val="center"/>
            <w:hideMark/>
          </w:tcPr>
          <w:p w14:paraId="3C5B4B0F"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Femme</w:t>
            </w:r>
          </w:p>
        </w:tc>
        <w:tc>
          <w:tcPr>
            <w:tcW w:w="1874" w:type="dxa"/>
            <w:tcBorders>
              <w:top w:val="nil"/>
              <w:left w:val="nil"/>
              <w:bottom w:val="single" w:sz="8" w:space="0" w:color="auto"/>
              <w:right w:val="single" w:sz="8" w:space="0" w:color="auto"/>
            </w:tcBorders>
            <w:shd w:val="clear" w:color="auto" w:fill="auto"/>
            <w:vAlign w:val="center"/>
            <w:hideMark/>
          </w:tcPr>
          <w:p w14:paraId="155B5FA2"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6.15 (2.91)</w:t>
            </w:r>
          </w:p>
        </w:tc>
        <w:tc>
          <w:tcPr>
            <w:tcW w:w="1128" w:type="dxa"/>
            <w:vMerge/>
            <w:tcBorders>
              <w:top w:val="nil"/>
              <w:left w:val="single" w:sz="8" w:space="0" w:color="auto"/>
              <w:bottom w:val="single" w:sz="8" w:space="0" w:color="000000"/>
              <w:right w:val="single" w:sz="8" w:space="0" w:color="auto"/>
            </w:tcBorders>
            <w:vAlign w:val="center"/>
            <w:hideMark/>
          </w:tcPr>
          <w:p w14:paraId="6D7093E1" w14:textId="77777777" w:rsidR="00221C99" w:rsidRPr="00CF48A1" w:rsidRDefault="00221C99" w:rsidP="00221C99">
            <w:pPr>
              <w:rPr>
                <w:rFonts w:eastAsia="Times New Roman"/>
                <w:color w:val="000000"/>
                <w:lang w:eastAsia="fr-FR"/>
              </w:rPr>
            </w:pPr>
          </w:p>
        </w:tc>
        <w:tc>
          <w:tcPr>
            <w:tcW w:w="1445" w:type="dxa"/>
            <w:vMerge/>
            <w:tcBorders>
              <w:top w:val="nil"/>
              <w:left w:val="single" w:sz="8" w:space="0" w:color="auto"/>
              <w:bottom w:val="single" w:sz="8" w:space="0" w:color="000000"/>
              <w:right w:val="single" w:sz="8" w:space="0" w:color="auto"/>
            </w:tcBorders>
            <w:vAlign w:val="center"/>
            <w:hideMark/>
          </w:tcPr>
          <w:p w14:paraId="12E60A43" w14:textId="77777777" w:rsidR="00221C99" w:rsidRPr="00CF48A1" w:rsidRDefault="00221C99" w:rsidP="00221C99">
            <w:pPr>
              <w:rPr>
                <w:rFonts w:eastAsia="Times New Roman"/>
                <w:color w:val="000000"/>
                <w:lang w:eastAsia="fr-FR"/>
              </w:rPr>
            </w:pPr>
          </w:p>
        </w:tc>
        <w:tc>
          <w:tcPr>
            <w:tcW w:w="1399" w:type="dxa"/>
            <w:vMerge/>
            <w:tcBorders>
              <w:top w:val="nil"/>
              <w:left w:val="single" w:sz="8" w:space="0" w:color="auto"/>
              <w:bottom w:val="single" w:sz="8" w:space="0" w:color="000000"/>
              <w:right w:val="single" w:sz="8" w:space="0" w:color="auto"/>
            </w:tcBorders>
            <w:vAlign w:val="center"/>
            <w:hideMark/>
          </w:tcPr>
          <w:p w14:paraId="1E2478FE" w14:textId="77777777" w:rsidR="00221C99" w:rsidRPr="00CF48A1" w:rsidRDefault="00221C99" w:rsidP="00221C99">
            <w:pPr>
              <w:rPr>
                <w:rFonts w:eastAsia="Times New Roman"/>
                <w:color w:val="000000"/>
                <w:lang w:eastAsia="fr-FR"/>
              </w:rPr>
            </w:pPr>
          </w:p>
        </w:tc>
      </w:tr>
      <w:tr w:rsidR="00221C99" w:rsidRPr="00CF48A1" w14:paraId="74C03DD7" w14:textId="77777777" w:rsidTr="00221C99">
        <w:trPr>
          <w:trHeight w:val="330"/>
        </w:trPr>
        <w:tc>
          <w:tcPr>
            <w:tcW w:w="1603" w:type="dxa"/>
            <w:vMerge w:val="restart"/>
            <w:tcBorders>
              <w:top w:val="nil"/>
              <w:left w:val="single" w:sz="8" w:space="0" w:color="auto"/>
              <w:bottom w:val="single" w:sz="8" w:space="0" w:color="000000"/>
              <w:right w:val="single" w:sz="8" w:space="0" w:color="auto"/>
            </w:tcBorders>
            <w:shd w:val="clear" w:color="auto" w:fill="auto"/>
            <w:vAlign w:val="center"/>
            <w:hideMark/>
          </w:tcPr>
          <w:p w14:paraId="297B103C"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Territoire d’exercice</w:t>
            </w:r>
          </w:p>
        </w:tc>
        <w:tc>
          <w:tcPr>
            <w:tcW w:w="2009" w:type="dxa"/>
            <w:tcBorders>
              <w:top w:val="nil"/>
              <w:left w:val="nil"/>
              <w:bottom w:val="single" w:sz="8" w:space="0" w:color="auto"/>
              <w:right w:val="single" w:sz="8" w:space="0" w:color="auto"/>
            </w:tcBorders>
            <w:shd w:val="clear" w:color="auto" w:fill="auto"/>
            <w:vAlign w:val="center"/>
            <w:hideMark/>
          </w:tcPr>
          <w:p w14:paraId="712AA6E2"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Urbain</w:t>
            </w:r>
          </w:p>
        </w:tc>
        <w:tc>
          <w:tcPr>
            <w:tcW w:w="1874" w:type="dxa"/>
            <w:tcBorders>
              <w:top w:val="nil"/>
              <w:left w:val="nil"/>
              <w:bottom w:val="single" w:sz="8" w:space="0" w:color="auto"/>
              <w:right w:val="single" w:sz="8" w:space="0" w:color="auto"/>
            </w:tcBorders>
            <w:shd w:val="clear" w:color="auto" w:fill="auto"/>
            <w:vAlign w:val="center"/>
            <w:hideMark/>
          </w:tcPr>
          <w:p w14:paraId="0C512B2F"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6.33 (3.03)</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20F25FF3"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0.96</w:t>
            </w:r>
          </w:p>
        </w:tc>
        <w:tc>
          <w:tcPr>
            <w:tcW w:w="1445" w:type="dxa"/>
            <w:vMerge w:val="restart"/>
            <w:tcBorders>
              <w:top w:val="nil"/>
              <w:left w:val="single" w:sz="8" w:space="0" w:color="auto"/>
              <w:bottom w:val="single" w:sz="8" w:space="0" w:color="000000"/>
              <w:right w:val="single" w:sz="8" w:space="0" w:color="auto"/>
            </w:tcBorders>
            <w:shd w:val="clear" w:color="auto" w:fill="auto"/>
            <w:vAlign w:val="center"/>
            <w:hideMark/>
          </w:tcPr>
          <w:p w14:paraId="0D57B7C2"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145</w:t>
            </w:r>
          </w:p>
        </w:tc>
        <w:tc>
          <w:tcPr>
            <w:tcW w:w="1399" w:type="dxa"/>
            <w:vMerge w:val="restart"/>
            <w:tcBorders>
              <w:top w:val="nil"/>
              <w:left w:val="single" w:sz="8" w:space="0" w:color="auto"/>
              <w:bottom w:val="single" w:sz="8" w:space="0" w:color="000000"/>
              <w:right w:val="single" w:sz="8" w:space="0" w:color="auto"/>
            </w:tcBorders>
            <w:shd w:val="clear" w:color="auto" w:fill="auto"/>
            <w:vAlign w:val="center"/>
            <w:hideMark/>
          </w:tcPr>
          <w:p w14:paraId="79315614"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0.36</w:t>
            </w:r>
          </w:p>
        </w:tc>
      </w:tr>
      <w:tr w:rsidR="00221C99" w:rsidRPr="00CF48A1" w14:paraId="7461E3C5" w14:textId="77777777" w:rsidTr="00221C99">
        <w:trPr>
          <w:trHeight w:val="330"/>
        </w:trPr>
        <w:tc>
          <w:tcPr>
            <w:tcW w:w="1603" w:type="dxa"/>
            <w:vMerge/>
            <w:tcBorders>
              <w:top w:val="nil"/>
              <w:left w:val="single" w:sz="8" w:space="0" w:color="auto"/>
              <w:bottom w:val="single" w:sz="8" w:space="0" w:color="000000"/>
              <w:right w:val="single" w:sz="8" w:space="0" w:color="auto"/>
            </w:tcBorders>
            <w:vAlign w:val="center"/>
            <w:hideMark/>
          </w:tcPr>
          <w:p w14:paraId="0E11559F" w14:textId="77777777" w:rsidR="00221C99" w:rsidRPr="00CF48A1" w:rsidRDefault="00221C99" w:rsidP="00221C99">
            <w:pPr>
              <w:rPr>
                <w:rFonts w:eastAsia="Times New Roman"/>
                <w:color w:val="000000"/>
                <w:lang w:eastAsia="fr-FR"/>
              </w:rPr>
            </w:pPr>
          </w:p>
        </w:tc>
        <w:tc>
          <w:tcPr>
            <w:tcW w:w="2009" w:type="dxa"/>
            <w:tcBorders>
              <w:top w:val="nil"/>
              <w:left w:val="nil"/>
              <w:bottom w:val="single" w:sz="8" w:space="0" w:color="auto"/>
              <w:right w:val="single" w:sz="8" w:space="0" w:color="auto"/>
            </w:tcBorders>
            <w:shd w:val="clear" w:color="auto" w:fill="auto"/>
            <w:vAlign w:val="center"/>
            <w:hideMark/>
          </w:tcPr>
          <w:p w14:paraId="4A0E799F"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Rural</w:t>
            </w:r>
          </w:p>
        </w:tc>
        <w:tc>
          <w:tcPr>
            <w:tcW w:w="1874" w:type="dxa"/>
            <w:tcBorders>
              <w:top w:val="nil"/>
              <w:left w:val="nil"/>
              <w:bottom w:val="single" w:sz="8" w:space="0" w:color="auto"/>
              <w:right w:val="single" w:sz="8" w:space="0" w:color="auto"/>
            </w:tcBorders>
            <w:shd w:val="clear" w:color="auto" w:fill="auto"/>
            <w:vAlign w:val="center"/>
            <w:hideMark/>
          </w:tcPr>
          <w:p w14:paraId="285C9FD5" w14:textId="77777777" w:rsidR="00221C99" w:rsidRPr="00CF48A1" w:rsidRDefault="00221C99" w:rsidP="00221C99">
            <w:pPr>
              <w:jc w:val="center"/>
              <w:rPr>
                <w:rFonts w:eastAsia="Times New Roman"/>
                <w:color w:val="000000"/>
                <w:lang w:eastAsia="fr-FR"/>
              </w:rPr>
            </w:pPr>
            <w:r w:rsidRPr="00CF48A1">
              <w:rPr>
                <w:rFonts w:eastAsia="Times New Roman"/>
                <w:color w:val="000000"/>
                <w:lang w:eastAsia="fr-FR"/>
              </w:rPr>
              <w:t>6.86 (2.44)</w:t>
            </w:r>
          </w:p>
        </w:tc>
        <w:tc>
          <w:tcPr>
            <w:tcW w:w="1128" w:type="dxa"/>
            <w:vMerge/>
            <w:tcBorders>
              <w:top w:val="nil"/>
              <w:left w:val="single" w:sz="8" w:space="0" w:color="auto"/>
              <w:bottom w:val="single" w:sz="8" w:space="0" w:color="000000"/>
              <w:right w:val="single" w:sz="8" w:space="0" w:color="auto"/>
            </w:tcBorders>
            <w:vAlign w:val="center"/>
            <w:hideMark/>
          </w:tcPr>
          <w:p w14:paraId="046C6468" w14:textId="77777777" w:rsidR="00221C99" w:rsidRPr="00CF48A1" w:rsidRDefault="00221C99" w:rsidP="00221C99">
            <w:pPr>
              <w:rPr>
                <w:rFonts w:eastAsia="Times New Roman"/>
                <w:color w:val="000000"/>
                <w:lang w:eastAsia="fr-FR"/>
              </w:rPr>
            </w:pPr>
          </w:p>
        </w:tc>
        <w:tc>
          <w:tcPr>
            <w:tcW w:w="1445" w:type="dxa"/>
            <w:vMerge/>
            <w:tcBorders>
              <w:top w:val="nil"/>
              <w:left w:val="single" w:sz="8" w:space="0" w:color="auto"/>
              <w:bottom w:val="single" w:sz="8" w:space="0" w:color="000000"/>
              <w:right w:val="single" w:sz="8" w:space="0" w:color="auto"/>
            </w:tcBorders>
            <w:vAlign w:val="center"/>
            <w:hideMark/>
          </w:tcPr>
          <w:p w14:paraId="4D549BD5" w14:textId="77777777" w:rsidR="00221C99" w:rsidRPr="00CF48A1" w:rsidRDefault="00221C99" w:rsidP="00221C99">
            <w:pPr>
              <w:rPr>
                <w:rFonts w:eastAsia="Times New Roman"/>
                <w:color w:val="000000"/>
                <w:lang w:eastAsia="fr-FR"/>
              </w:rPr>
            </w:pPr>
          </w:p>
        </w:tc>
        <w:tc>
          <w:tcPr>
            <w:tcW w:w="1399" w:type="dxa"/>
            <w:vMerge/>
            <w:tcBorders>
              <w:top w:val="nil"/>
              <w:left w:val="single" w:sz="8" w:space="0" w:color="auto"/>
              <w:bottom w:val="single" w:sz="8" w:space="0" w:color="000000"/>
              <w:right w:val="single" w:sz="8" w:space="0" w:color="auto"/>
            </w:tcBorders>
            <w:vAlign w:val="center"/>
            <w:hideMark/>
          </w:tcPr>
          <w:p w14:paraId="41EB211B" w14:textId="77777777" w:rsidR="00221C99" w:rsidRPr="00CF48A1" w:rsidRDefault="00221C99" w:rsidP="00221C99">
            <w:pPr>
              <w:rPr>
                <w:rFonts w:eastAsia="Times New Roman"/>
                <w:color w:val="000000"/>
                <w:lang w:eastAsia="fr-FR"/>
              </w:rPr>
            </w:pPr>
          </w:p>
        </w:tc>
      </w:tr>
    </w:tbl>
    <w:p w14:paraId="3447EBB5" w14:textId="77777777" w:rsidR="00307F9E" w:rsidRPr="00CF48A1" w:rsidRDefault="00307F9E" w:rsidP="009A5599">
      <w:pPr>
        <w:jc w:val="both"/>
      </w:pPr>
    </w:p>
    <w:p w14:paraId="399DAD63" w14:textId="6F552696" w:rsidR="00F33D38" w:rsidRPr="00CF48A1" w:rsidRDefault="00221C99" w:rsidP="00221C99">
      <w:pPr>
        <w:spacing w:line="360" w:lineRule="auto"/>
        <w:jc w:val="both"/>
      </w:pPr>
      <w:r w:rsidRPr="00CF48A1">
        <w:t>-</w:t>
      </w:r>
      <w:r w:rsidR="006378DF" w:rsidRPr="00CF48A1">
        <w:t>L</w:t>
      </w:r>
      <w:r w:rsidRPr="00CF48A1">
        <w:t xml:space="preserve">e </w:t>
      </w:r>
      <w:r w:rsidR="006378DF" w:rsidRPr="00CF48A1">
        <w:t>facteur « </w:t>
      </w:r>
      <w:r w:rsidRPr="00CF48A1">
        <w:t>sexe</w:t>
      </w:r>
      <w:r w:rsidR="006378DF" w:rsidRPr="00CF48A1">
        <w:t> »</w:t>
      </w:r>
      <w:r w:rsidRPr="00CF48A1">
        <w:t> :</w:t>
      </w:r>
      <w:r w:rsidR="006378DF" w:rsidRPr="00CF48A1">
        <w:t>l</w:t>
      </w:r>
      <w:r w:rsidR="00265EBB" w:rsidRPr="00CF48A1">
        <w:t>a valeur p est inférieure à 0.05, et par conséquent l’âge affecte significativement le score de connaissance des pharmaciens participants dans notre étude.</w:t>
      </w:r>
    </w:p>
    <w:p w14:paraId="70C59B1A" w14:textId="20626885" w:rsidR="007E7D1A" w:rsidRPr="00CF48A1" w:rsidRDefault="00221C99" w:rsidP="00C029BF">
      <w:pPr>
        <w:spacing w:line="360" w:lineRule="auto"/>
        <w:jc w:val="both"/>
      </w:pPr>
      <w:r w:rsidRPr="00CF48A1">
        <w:t>-</w:t>
      </w:r>
      <w:r w:rsidR="006378DF" w:rsidRPr="00CF48A1">
        <w:t xml:space="preserve"> Le facteur « âge »</w:t>
      </w:r>
      <w:r w:rsidRPr="00CF48A1">
        <w:t> :</w:t>
      </w:r>
      <w:r w:rsidR="006378DF" w:rsidRPr="00CF48A1">
        <w:t>l</w:t>
      </w:r>
      <w:r w:rsidR="00265EBB" w:rsidRPr="00CF48A1">
        <w:t xml:space="preserve">a valeur p est supérieure à 0.05, et par conséquent le sexe n’affecte pas le score de connaissance des pharmaciens </w:t>
      </w:r>
    </w:p>
    <w:p w14:paraId="026BC477" w14:textId="302AC634" w:rsidR="009E7CE6" w:rsidRPr="00CF48A1" w:rsidRDefault="00221C99" w:rsidP="00221C99">
      <w:pPr>
        <w:spacing w:line="360" w:lineRule="auto"/>
        <w:jc w:val="both"/>
      </w:pPr>
      <w:r w:rsidRPr="00CF48A1">
        <w:t xml:space="preserve">- </w:t>
      </w:r>
      <w:r w:rsidR="006378DF" w:rsidRPr="00CF48A1">
        <w:t>Le facteur « </w:t>
      </w:r>
      <w:r w:rsidRPr="00CF48A1">
        <w:t>territoire d’exercice</w:t>
      </w:r>
      <w:r w:rsidR="006378DF" w:rsidRPr="00CF48A1">
        <w:t> »</w:t>
      </w:r>
      <w:r w:rsidRPr="00CF48A1">
        <w:t> :</w:t>
      </w:r>
      <w:r w:rsidR="006378DF" w:rsidRPr="00CF48A1">
        <w:t>l</w:t>
      </w:r>
      <w:r w:rsidR="009E7CE6" w:rsidRPr="00CF48A1">
        <w:t>a valeur p est supérieure à 0.05, et par conséquent le territoire d’exercice n’affecte pas le score de connaissance des pharmaciens.</w:t>
      </w:r>
    </w:p>
    <w:p w14:paraId="2DA3D5BE" w14:textId="77777777" w:rsidR="005D7B14" w:rsidRPr="00CF48A1" w:rsidRDefault="005D7B14" w:rsidP="009A5599">
      <w:pPr>
        <w:jc w:val="both"/>
      </w:pPr>
    </w:p>
    <w:p w14:paraId="014BABA0" w14:textId="77777777" w:rsidR="00EF418F" w:rsidRPr="00CF48A1" w:rsidRDefault="005D7B14" w:rsidP="00F62287">
      <w:pPr>
        <w:spacing w:line="360" w:lineRule="auto"/>
        <w:jc w:val="both"/>
      </w:pPr>
      <w:r w:rsidRPr="00CF48A1">
        <w:t>4.2</w:t>
      </w:r>
      <w:r w:rsidR="00F62287" w:rsidRPr="00CF48A1">
        <w:t xml:space="preserve">) </w:t>
      </w:r>
      <w:r w:rsidRPr="00CF48A1">
        <w:t>Les f</w:t>
      </w:r>
      <w:r w:rsidR="00EF418F" w:rsidRPr="00CF48A1">
        <w:t>acteurs à trois groupes ou plus</w:t>
      </w:r>
    </w:p>
    <w:p w14:paraId="4F03C52F" w14:textId="18B8BF65" w:rsidR="005D7B14" w:rsidRPr="00CF48A1" w:rsidRDefault="005D7B14" w:rsidP="00F62287">
      <w:pPr>
        <w:spacing w:line="360" w:lineRule="auto"/>
        <w:jc w:val="both"/>
      </w:pPr>
      <w:r w:rsidRPr="00CF48A1">
        <w:t xml:space="preserve">Une analyse statistique des données par test ANOVA </w:t>
      </w:r>
      <w:r w:rsidR="00540800" w:rsidRPr="00CF48A1">
        <w:t>à</w:t>
      </w:r>
      <w:r w:rsidRPr="00CF48A1">
        <w:t xml:space="preserve"> un facteur (unidirectionnelle) a été effectuée pour étudier les différences dans le score de connaissance en fonction des caractéristiques démographiques et les perceptions des pharmaciens participants qui peuvent influencer leur niveau de connaissance.</w:t>
      </w:r>
    </w:p>
    <w:p w14:paraId="5EB06E6C" w14:textId="77777777" w:rsidR="00FE7F38" w:rsidRPr="00CF48A1" w:rsidRDefault="00FE7F38" w:rsidP="00F62287">
      <w:pPr>
        <w:spacing w:line="360" w:lineRule="auto"/>
        <w:jc w:val="both"/>
      </w:pPr>
      <w:r w:rsidRPr="00CF48A1">
        <w:t xml:space="preserve">Si la valeur P inferieure a 0.05, un test post hoc par méthode </w:t>
      </w:r>
      <w:proofErr w:type="spellStart"/>
      <w:r w:rsidRPr="00CF48A1">
        <w:t>Scheffé</w:t>
      </w:r>
      <w:proofErr w:type="spellEnd"/>
      <w:r w:rsidRPr="00CF48A1">
        <w:t xml:space="preserve"> sera réalisé pour faire une comparaison entre les groupes.</w:t>
      </w:r>
    </w:p>
    <w:p w14:paraId="5CE71C7B" w14:textId="77777777" w:rsidR="00913F5D" w:rsidRPr="00CF48A1" w:rsidRDefault="00913F5D" w:rsidP="00F62287">
      <w:pPr>
        <w:spacing w:line="360" w:lineRule="auto"/>
        <w:jc w:val="both"/>
      </w:pPr>
    </w:p>
    <w:p w14:paraId="631A69FC" w14:textId="77777777" w:rsidR="00207CA0" w:rsidRPr="00CF48A1" w:rsidRDefault="00207CA0" w:rsidP="00F62287">
      <w:pPr>
        <w:spacing w:line="360" w:lineRule="auto"/>
        <w:jc w:val="both"/>
      </w:pPr>
    </w:p>
    <w:p w14:paraId="287545F6" w14:textId="77777777" w:rsidR="00207CA0" w:rsidRPr="00CF48A1" w:rsidRDefault="00207CA0" w:rsidP="00F62287">
      <w:pPr>
        <w:spacing w:line="360" w:lineRule="auto"/>
        <w:jc w:val="both"/>
      </w:pPr>
    </w:p>
    <w:p w14:paraId="30526AED" w14:textId="77777777" w:rsidR="00207CA0" w:rsidRPr="00CF48A1" w:rsidRDefault="00207CA0" w:rsidP="00F62287">
      <w:pPr>
        <w:spacing w:line="360" w:lineRule="auto"/>
        <w:jc w:val="both"/>
      </w:pPr>
    </w:p>
    <w:p w14:paraId="08768CA4" w14:textId="77777777" w:rsidR="00207CA0" w:rsidRPr="00CF48A1" w:rsidRDefault="00207CA0" w:rsidP="00F62287">
      <w:pPr>
        <w:spacing w:line="360" w:lineRule="auto"/>
        <w:jc w:val="both"/>
      </w:pPr>
    </w:p>
    <w:p w14:paraId="1C773A13" w14:textId="77777777" w:rsidR="00207CA0" w:rsidRPr="00CF48A1" w:rsidRDefault="00207CA0" w:rsidP="00F62287">
      <w:pPr>
        <w:spacing w:line="360" w:lineRule="auto"/>
        <w:jc w:val="both"/>
      </w:pPr>
    </w:p>
    <w:p w14:paraId="6505F4C0" w14:textId="77777777" w:rsidR="00207CA0" w:rsidRPr="00CF48A1" w:rsidRDefault="00207CA0" w:rsidP="00F62287">
      <w:pPr>
        <w:spacing w:line="360" w:lineRule="auto"/>
        <w:jc w:val="both"/>
      </w:pPr>
    </w:p>
    <w:p w14:paraId="6ECB8E8D" w14:textId="77777777" w:rsidR="00207CA0" w:rsidRPr="00CF48A1" w:rsidRDefault="00207CA0" w:rsidP="00F62287">
      <w:pPr>
        <w:spacing w:line="360" w:lineRule="auto"/>
        <w:jc w:val="both"/>
      </w:pPr>
    </w:p>
    <w:p w14:paraId="3F176216" w14:textId="77777777" w:rsidR="00207CA0" w:rsidRPr="00CF48A1" w:rsidRDefault="00207CA0" w:rsidP="00F62287">
      <w:pPr>
        <w:spacing w:line="360" w:lineRule="auto"/>
        <w:jc w:val="both"/>
      </w:pPr>
    </w:p>
    <w:p w14:paraId="6F3B52BF" w14:textId="3E880C57" w:rsidR="005D7B14" w:rsidRPr="00CF48A1" w:rsidRDefault="005D7B14" w:rsidP="00A053D8">
      <w:pPr>
        <w:jc w:val="center"/>
      </w:pPr>
      <w:r w:rsidRPr="00CF48A1">
        <w:lastRenderedPageBreak/>
        <w:t xml:space="preserve">Tableau </w:t>
      </w:r>
      <w:r w:rsidR="00D35C36" w:rsidRPr="00CF48A1">
        <w:t>6</w:t>
      </w:r>
      <w:r w:rsidRPr="00CF48A1">
        <w:t xml:space="preserve"> : La relation entre le score de </w:t>
      </w:r>
      <w:r w:rsidR="00207CA0" w:rsidRPr="00CF48A1">
        <w:t>connaissance et les caractéristiques démographiques et perceptions des pharmaciens</w:t>
      </w:r>
    </w:p>
    <w:tbl>
      <w:tblPr>
        <w:tblW w:w="9580" w:type="dxa"/>
        <w:tblInd w:w="80" w:type="dxa"/>
        <w:tblCellMar>
          <w:left w:w="70" w:type="dxa"/>
          <w:right w:w="70" w:type="dxa"/>
        </w:tblCellMar>
        <w:tblLook w:val="04A0" w:firstRow="1" w:lastRow="0" w:firstColumn="1" w:lastColumn="0" w:noHBand="0" w:noVBand="1"/>
      </w:tblPr>
      <w:tblGrid>
        <w:gridCol w:w="2117"/>
        <w:gridCol w:w="3260"/>
        <w:gridCol w:w="1276"/>
        <w:gridCol w:w="850"/>
        <w:gridCol w:w="1134"/>
        <w:gridCol w:w="943"/>
      </w:tblGrid>
      <w:tr w:rsidR="00A053D8" w:rsidRPr="00CF48A1" w14:paraId="2BB7F526" w14:textId="77777777" w:rsidTr="00AE1C31">
        <w:trPr>
          <w:trHeight w:val="948"/>
        </w:trPr>
        <w:tc>
          <w:tcPr>
            <w:tcW w:w="21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D94D0B"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 xml:space="preserve">Facteur  </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14:paraId="716DAA36"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Les groupes</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727C657"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Moyenne (écart types)</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6BF0C0A8"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F</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E1BF10F"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 xml:space="preserve">Degré de liberté </w:t>
            </w:r>
          </w:p>
        </w:tc>
        <w:tc>
          <w:tcPr>
            <w:tcW w:w="943" w:type="dxa"/>
            <w:tcBorders>
              <w:top w:val="single" w:sz="8" w:space="0" w:color="auto"/>
              <w:left w:val="nil"/>
              <w:bottom w:val="single" w:sz="8" w:space="0" w:color="auto"/>
              <w:right w:val="single" w:sz="8" w:space="0" w:color="auto"/>
            </w:tcBorders>
            <w:shd w:val="clear" w:color="auto" w:fill="auto"/>
            <w:vAlign w:val="center"/>
            <w:hideMark/>
          </w:tcPr>
          <w:p w14:paraId="60FB8205"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Valeur p</w:t>
            </w:r>
          </w:p>
        </w:tc>
      </w:tr>
      <w:tr w:rsidR="00A053D8" w:rsidRPr="00CF48A1" w14:paraId="76B452D0" w14:textId="77777777" w:rsidTr="00AE1C31">
        <w:trPr>
          <w:trHeight w:val="324"/>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4B448BE5"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L’expérience professionnelle</w:t>
            </w:r>
          </w:p>
        </w:tc>
        <w:tc>
          <w:tcPr>
            <w:tcW w:w="3260" w:type="dxa"/>
            <w:tcBorders>
              <w:top w:val="nil"/>
              <w:left w:val="nil"/>
              <w:bottom w:val="single" w:sz="8" w:space="0" w:color="auto"/>
              <w:right w:val="single" w:sz="8" w:space="0" w:color="auto"/>
            </w:tcBorders>
            <w:shd w:val="clear" w:color="auto" w:fill="auto"/>
            <w:vAlign w:val="center"/>
            <w:hideMark/>
          </w:tcPr>
          <w:p w14:paraId="1FB7A8E9"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 mois à 5ans</w:t>
            </w:r>
          </w:p>
        </w:tc>
        <w:tc>
          <w:tcPr>
            <w:tcW w:w="1276" w:type="dxa"/>
            <w:tcBorders>
              <w:top w:val="nil"/>
              <w:left w:val="nil"/>
              <w:bottom w:val="single" w:sz="8" w:space="0" w:color="auto"/>
              <w:right w:val="single" w:sz="8" w:space="0" w:color="auto"/>
            </w:tcBorders>
            <w:shd w:val="clear" w:color="auto" w:fill="auto"/>
            <w:vAlign w:val="center"/>
            <w:hideMark/>
          </w:tcPr>
          <w:p w14:paraId="63D7A884"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6.39(2.98)</w:t>
            </w:r>
          </w:p>
        </w:tc>
        <w:tc>
          <w:tcPr>
            <w:tcW w:w="850" w:type="dxa"/>
            <w:vMerge w:val="restart"/>
            <w:tcBorders>
              <w:top w:val="nil"/>
              <w:left w:val="single" w:sz="8" w:space="0" w:color="auto"/>
              <w:bottom w:val="nil"/>
              <w:right w:val="single" w:sz="8" w:space="0" w:color="auto"/>
            </w:tcBorders>
            <w:shd w:val="clear" w:color="auto" w:fill="auto"/>
            <w:vAlign w:val="center"/>
            <w:hideMark/>
          </w:tcPr>
          <w:p w14:paraId="6368C0CB"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0.11</w:t>
            </w:r>
          </w:p>
        </w:tc>
        <w:tc>
          <w:tcPr>
            <w:tcW w:w="1134" w:type="dxa"/>
            <w:vMerge w:val="restart"/>
            <w:tcBorders>
              <w:top w:val="nil"/>
              <w:left w:val="single" w:sz="8" w:space="0" w:color="auto"/>
              <w:bottom w:val="nil"/>
              <w:right w:val="single" w:sz="8" w:space="0" w:color="auto"/>
            </w:tcBorders>
            <w:shd w:val="clear" w:color="auto" w:fill="auto"/>
            <w:vAlign w:val="center"/>
            <w:hideMark/>
          </w:tcPr>
          <w:p w14:paraId="44B91AB7"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144</w:t>
            </w:r>
          </w:p>
        </w:tc>
        <w:tc>
          <w:tcPr>
            <w:tcW w:w="943" w:type="dxa"/>
            <w:vMerge w:val="restart"/>
            <w:tcBorders>
              <w:top w:val="nil"/>
              <w:left w:val="single" w:sz="8" w:space="0" w:color="auto"/>
              <w:bottom w:val="nil"/>
              <w:right w:val="single" w:sz="8" w:space="0" w:color="auto"/>
            </w:tcBorders>
            <w:shd w:val="clear" w:color="auto" w:fill="auto"/>
            <w:vAlign w:val="center"/>
            <w:hideMark/>
          </w:tcPr>
          <w:p w14:paraId="0C42B8B3"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0.89</w:t>
            </w:r>
          </w:p>
        </w:tc>
      </w:tr>
      <w:tr w:rsidR="00A053D8" w:rsidRPr="00CF48A1" w14:paraId="5FD28DF2"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7ED9E0B5"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078E765F"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5 -10 ans</w:t>
            </w:r>
          </w:p>
        </w:tc>
        <w:tc>
          <w:tcPr>
            <w:tcW w:w="1276" w:type="dxa"/>
            <w:tcBorders>
              <w:top w:val="nil"/>
              <w:left w:val="nil"/>
              <w:bottom w:val="single" w:sz="8" w:space="0" w:color="auto"/>
              <w:right w:val="single" w:sz="8" w:space="0" w:color="auto"/>
            </w:tcBorders>
            <w:shd w:val="clear" w:color="auto" w:fill="auto"/>
            <w:vAlign w:val="center"/>
            <w:hideMark/>
          </w:tcPr>
          <w:p w14:paraId="7F5FBC4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6.29(3.21)</w:t>
            </w:r>
          </w:p>
        </w:tc>
        <w:tc>
          <w:tcPr>
            <w:tcW w:w="850" w:type="dxa"/>
            <w:vMerge/>
            <w:tcBorders>
              <w:top w:val="nil"/>
              <w:left w:val="single" w:sz="8" w:space="0" w:color="auto"/>
              <w:bottom w:val="nil"/>
              <w:right w:val="single" w:sz="8" w:space="0" w:color="auto"/>
            </w:tcBorders>
            <w:vAlign w:val="center"/>
            <w:hideMark/>
          </w:tcPr>
          <w:p w14:paraId="16C7D31B" w14:textId="77777777" w:rsidR="00A053D8" w:rsidRPr="00CF48A1" w:rsidRDefault="00A053D8" w:rsidP="00A053D8">
            <w:pPr>
              <w:rPr>
                <w:rFonts w:eastAsia="Times New Roman"/>
                <w:color w:val="000000"/>
                <w:lang w:eastAsia="fr-FR"/>
              </w:rPr>
            </w:pPr>
          </w:p>
        </w:tc>
        <w:tc>
          <w:tcPr>
            <w:tcW w:w="1134" w:type="dxa"/>
            <w:vMerge/>
            <w:tcBorders>
              <w:top w:val="nil"/>
              <w:left w:val="single" w:sz="8" w:space="0" w:color="auto"/>
              <w:bottom w:val="nil"/>
              <w:right w:val="single" w:sz="8" w:space="0" w:color="auto"/>
            </w:tcBorders>
            <w:vAlign w:val="center"/>
            <w:hideMark/>
          </w:tcPr>
          <w:p w14:paraId="0AFA737A" w14:textId="77777777" w:rsidR="00A053D8" w:rsidRPr="00CF48A1" w:rsidRDefault="00A053D8" w:rsidP="00A053D8">
            <w:pPr>
              <w:rPr>
                <w:rFonts w:eastAsia="Times New Roman"/>
                <w:color w:val="000000"/>
                <w:lang w:eastAsia="fr-FR"/>
              </w:rPr>
            </w:pPr>
          </w:p>
        </w:tc>
        <w:tc>
          <w:tcPr>
            <w:tcW w:w="943" w:type="dxa"/>
            <w:vMerge/>
            <w:tcBorders>
              <w:top w:val="nil"/>
              <w:left w:val="single" w:sz="8" w:space="0" w:color="auto"/>
              <w:bottom w:val="nil"/>
              <w:right w:val="single" w:sz="8" w:space="0" w:color="auto"/>
            </w:tcBorders>
            <w:vAlign w:val="center"/>
            <w:hideMark/>
          </w:tcPr>
          <w:p w14:paraId="452CB96E" w14:textId="77777777" w:rsidR="00A053D8" w:rsidRPr="00CF48A1" w:rsidRDefault="00A053D8" w:rsidP="00A053D8">
            <w:pPr>
              <w:rPr>
                <w:rFonts w:eastAsia="Times New Roman"/>
                <w:color w:val="000000"/>
                <w:lang w:eastAsia="fr-FR"/>
              </w:rPr>
            </w:pPr>
          </w:p>
        </w:tc>
      </w:tr>
      <w:tr w:rsidR="00A053D8" w:rsidRPr="00CF48A1" w14:paraId="3B1D3211"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2B9C66B7"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2A1D403E"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10 ans ou plus</w:t>
            </w:r>
          </w:p>
        </w:tc>
        <w:tc>
          <w:tcPr>
            <w:tcW w:w="1276" w:type="dxa"/>
            <w:tcBorders>
              <w:top w:val="nil"/>
              <w:left w:val="nil"/>
              <w:bottom w:val="single" w:sz="8" w:space="0" w:color="auto"/>
              <w:right w:val="single" w:sz="8" w:space="0" w:color="auto"/>
            </w:tcBorders>
            <w:shd w:val="clear" w:color="auto" w:fill="auto"/>
            <w:vAlign w:val="center"/>
            <w:hideMark/>
          </w:tcPr>
          <w:p w14:paraId="3F36421F"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6.36(3.11)</w:t>
            </w:r>
          </w:p>
        </w:tc>
        <w:tc>
          <w:tcPr>
            <w:tcW w:w="850" w:type="dxa"/>
            <w:tcBorders>
              <w:top w:val="nil"/>
              <w:left w:val="nil"/>
              <w:bottom w:val="single" w:sz="8" w:space="0" w:color="000000"/>
              <w:right w:val="single" w:sz="8" w:space="0" w:color="auto"/>
            </w:tcBorders>
            <w:shd w:val="clear" w:color="auto" w:fill="auto"/>
            <w:vAlign w:val="center"/>
            <w:hideMark/>
          </w:tcPr>
          <w:p w14:paraId="1F937090"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1134" w:type="dxa"/>
            <w:tcBorders>
              <w:top w:val="nil"/>
              <w:left w:val="nil"/>
              <w:bottom w:val="single" w:sz="8" w:space="0" w:color="000000"/>
              <w:right w:val="single" w:sz="8" w:space="0" w:color="auto"/>
            </w:tcBorders>
            <w:shd w:val="clear" w:color="auto" w:fill="auto"/>
            <w:vAlign w:val="center"/>
            <w:hideMark/>
          </w:tcPr>
          <w:p w14:paraId="7651FADB"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943" w:type="dxa"/>
            <w:tcBorders>
              <w:top w:val="nil"/>
              <w:left w:val="nil"/>
              <w:bottom w:val="single" w:sz="8" w:space="0" w:color="000000"/>
              <w:right w:val="single" w:sz="8" w:space="0" w:color="auto"/>
            </w:tcBorders>
            <w:shd w:val="clear" w:color="auto" w:fill="auto"/>
            <w:vAlign w:val="center"/>
            <w:hideMark/>
          </w:tcPr>
          <w:p w14:paraId="4211ACC1"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r>
      <w:tr w:rsidR="00A053D8" w:rsidRPr="00CF48A1" w14:paraId="548519BB" w14:textId="77777777" w:rsidTr="00AE1C31">
        <w:trPr>
          <w:trHeight w:val="324"/>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6A169ABA"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Perceptions à propos les inhibiteurs SGLT2</w:t>
            </w:r>
          </w:p>
        </w:tc>
        <w:tc>
          <w:tcPr>
            <w:tcW w:w="3260" w:type="dxa"/>
            <w:tcBorders>
              <w:top w:val="nil"/>
              <w:left w:val="nil"/>
              <w:bottom w:val="single" w:sz="8" w:space="0" w:color="auto"/>
              <w:right w:val="single" w:sz="8" w:space="0" w:color="auto"/>
            </w:tcBorders>
            <w:shd w:val="clear" w:color="auto" w:fill="auto"/>
            <w:vAlign w:val="center"/>
            <w:hideMark/>
          </w:tcPr>
          <w:p w14:paraId="003AC8A3"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Aucun avantage</w:t>
            </w:r>
          </w:p>
        </w:tc>
        <w:tc>
          <w:tcPr>
            <w:tcW w:w="1276" w:type="dxa"/>
            <w:tcBorders>
              <w:top w:val="nil"/>
              <w:left w:val="nil"/>
              <w:bottom w:val="single" w:sz="8" w:space="0" w:color="auto"/>
              <w:right w:val="single" w:sz="8" w:space="0" w:color="auto"/>
            </w:tcBorders>
            <w:shd w:val="clear" w:color="auto" w:fill="auto"/>
            <w:vAlign w:val="center"/>
            <w:hideMark/>
          </w:tcPr>
          <w:p w14:paraId="6A2FBA61"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6.04(3)</w:t>
            </w:r>
          </w:p>
        </w:tc>
        <w:tc>
          <w:tcPr>
            <w:tcW w:w="850" w:type="dxa"/>
            <w:vMerge w:val="restart"/>
            <w:tcBorders>
              <w:top w:val="nil"/>
              <w:left w:val="single" w:sz="8" w:space="0" w:color="auto"/>
              <w:bottom w:val="nil"/>
              <w:right w:val="single" w:sz="8" w:space="0" w:color="auto"/>
            </w:tcBorders>
            <w:shd w:val="clear" w:color="auto" w:fill="auto"/>
            <w:vAlign w:val="center"/>
            <w:hideMark/>
          </w:tcPr>
          <w:p w14:paraId="440DF8A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1.19</w:t>
            </w:r>
          </w:p>
        </w:tc>
        <w:tc>
          <w:tcPr>
            <w:tcW w:w="1134" w:type="dxa"/>
            <w:vMerge w:val="restart"/>
            <w:tcBorders>
              <w:top w:val="nil"/>
              <w:left w:val="single" w:sz="8" w:space="0" w:color="auto"/>
              <w:bottom w:val="nil"/>
              <w:right w:val="single" w:sz="8" w:space="0" w:color="auto"/>
            </w:tcBorders>
            <w:shd w:val="clear" w:color="auto" w:fill="auto"/>
            <w:vAlign w:val="center"/>
            <w:hideMark/>
          </w:tcPr>
          <w:p w14:paraId="6709DA1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143</w:t>
            </w:r>
          </w:p>
        </w:tc>
        <w:tc>
          <w:tcPr>
            <w:tcW w:w="943" w:type="dxa"/>
            <w:vMerge w:val="restart"/>
            <w:tcBorders>
              <w:top w:val="nil"/>
              <w:left w:val="single" w:sz="8" w:space="0" w:color="auto"/>
              <w:bottom w:val="nil"/>
              <w:right w:val="single" w:sz="8" w:space="0" w:color="auto"/>
            </w:tcBorders>
            <w:shd w:val="clear" w:color="auto" w:fill="auto"/>
            <w:vAlign w:val="center"/>
            <w:hideMark/>
          </w:tcPr>
          <w:p w14:paraId="00017F81"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0.31</w:t>
            </w:r>
          </w:p>
        </w:tc>
      </w:tr>
      <w:tr w:rsidR="00A053D8" w:rsidRPr="00CF48A1" w14:paraId="663F314E"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1138F8AC"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51A8A8B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Avantage modeste</w:t>
            </w:r>
          </w:p>
        </w:tc>
        <w:tc>
          <w:tcPr>
            <w:tcW w:w="1276" w:type="dxa"/>
            <w:tcBorders>
              <w:top w:val="nil"/>
              <w:left w:val="nil"/>
              <w:bottom w:val="single" w:sz="8" w:space="0" w:color="auto"/>
              <w:right w:val="single" w:sz="8" w:space="0" w:color="auto"/>
            </w:tcBorders>
            <w:shd w:val="clear" w:color="auto" w:fill="auto"/>
            <w:vAlign w:val="center"/>
            <w:hideMark/>
          </w:tcPr>
          <w:p w14:paraId="4E5E34B9"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6.39(3.04)</w:t>
            </w:r>
          </w:p>
        </w:tc>
        <w:tc>
          <w:tcPr>
            <w:tcW w:w="850" w:type="dxa"/>
            <w:vMerge/>
            <w:tcBorders>
              <w:top w:val="nil"/>
              <w:left w:val="single" w:sz="8" w:space="0" w:color="auto"/>
              <w:bottom w:val="nil"/>
              <w:right w:val="single" w:sz="8" w:space="0" w:color="auto"/>
            </w:tcBorders>
            <w:vAlign w:val="center"/>
            <w:hideMark/>
          </w:tcPr>
          <w:p w14:paraId="0F1983CA" w14:textId="77777777" w:rsidR="00A053D8" w:rsidRPr="00CF48A1" w:rsidRDefault="00A053D8" w:rsidP="00A053D8">
            <w:pPr>
              <w:rPr>
                <w:rFonts w:eastAsia="Times New Roman"/>
                <w:color w:val="000000"/>
                <w:lang w:eastAsia="fr-FR"/>
              </w:rPr>
            </w:pPr>
          </w:p>
        </w:tc>
        <w:tc>
          <w:tcPr>
            <w:tcW w:w="1134" w:type="dxa"/>
            <w:vMerge/>
            <w:tcBorders>
              <w:top w:val="nil"/>
              <w:left w:val="single" w:sz="8" w:space="0" w:color="auto"/>
              <w:bottom w:val="nil"/>
              <w:right w:val="single" w:sz="8" w:space="0" w:color="auto"/>
            </w:tcBorders>
            <w:vAlign w:val="center"/>
            <w:hideMark/>
          </w:tcPr>
          <w:p w14:paraId="60E1830B" w14:textId="77777777" w:rsidR="00A053D8" w:rsidRPr="00CF48A1" w:rsidRDefault="00A053D8" w:rsidP="00A053D8">
            <w:pPr>
              <w:rPr>
                <w:rFonts w:eastAsia="Times New Roman"/>
                <w:color w:val="000000"/>
                <w:lang w:eastAsia="fr-FR"/>
              </w:rPr>
            </w:pPr>
          </w:p>
        </w:tc>
        <w:tc>
          <w:tcPr>
            <w:tcW w:w="943" w:type="dxa"/>
            <w:vMerge/>
            <w:tcBorders>
              <w:top w:val="nil"/>
              <w:left w:val="single" w:sz="8" w:space="0" w:color="auto"/>
              <w:bottom w:val="nil"/>
              <w:right w:val="single" w:sz="8" w:space="0" w:color="auto"/>
            </w:tcBorders>
            <w:vAlign w:val="center"/>
            <w:hideMark/>
          </w:tcPr>
          <w:p w14:paraId="466D32B5" w14:textId="77777777" w:rsidR="00A053D8" w:rsidRPr="00CF48A1" w:rsidRDefault="00A053D8" w:rsidP="00A053D8">
            <w:pPr>
              <w:rPr>
                <w:rFonts w:eastAsia="Times New Roman"/>
                <w:color w:val="000000"/>
                <w:lang w:eastAsia="fr-FR"/>
              </w:rPr>
            </w:pPr>
          </w:p>
        </w:tc>
      </w:tr>
      <w:tr w:rsidR="00A053D8" w:rsidRPr="00CF48A1" w14:paraId="61DB71BB" w14:textId="77777777" w:rsidTr="00AE1C31">
        <w:trPr>
          <w:trHeight w:val="636"/>
        </w:trPr>
        <w:tc>
          <w:tcPr>
            <w:tcW w:w="2117" w:type="dxa"/>
            <w:vMerge/>
            <w:tcBorders>
              <w:top w:val="nil"/>
              <w:left w:val="single" w:sz="8" w:space="0" w:color="auto"/>
              <w:bottom w:val="single" w:sz="8" w:space="0" w:color="000000"/>
              <w:right w:val="single" w:sz="8" w:space="0" w:color="auto"/>
            </w:tcBorders>
            <w:vAlign w:val="center"/>
            <w:hideMark/>
          </w:tcPr>
          <w:p w14:paraId="2153583A"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156C6936"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Très efficace chez un groupe des patients</w:t>
            </w:r>
          </w:p>
        </w:tc>
        <w:tc>
          <w:tcPr>
            <w:tcW w:w="1276" w:type="dxa"/>
            <w:tcBorders>
              <w:top w:val="nil"/>
              <w:left w:val="nil"/>
              <w:bottom w:val="single" w:sz="8" w:space="0" w:color="auto"/>
              <w:right w:val="single" w:sz="8" w:space="0" w:color="auto"/>
            </w:tcBorders>
            <w:shd w:val="clear" w:color="auto" w:fill="auto"/>
            <w:vAlign w:val="center"/>
            <w:hideMark/>
          </w:tcPr>
          <w:p w14:paraId="7B0D02AC"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7.4(2.41)</w:t>
            </w:r>
          </w:p>
        </w:tc>
        <w:tc>
          <w:tcPr>
            <w:tcW w:w="850" w:type="dxa"/>
            <w:tcBorders>
              <w:top w:val="nil"/>
              <w:left w:val="nil"/>
              <w:bottom w:val="nil"/>
              <w:right w:val="single" w:sz="8" w:space="0" w:color="auto"/>
            </w:tcBorders>
            <w:shd w:val="clear" w:color="auto" w:fill="auto"/>
            <w:vAlign w:val="center"/>
            <w:hideMark/>
          </w:tcPr>
          <w:p w14:paraId="3D2C7A51"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1134" w:type="dxa"/>
            <w:tcBorders>
              <w:top w:val="nil"/>
              <w:left w:val="nil"/>
              <w:bottom w:val="nil"/>
              <w:right w:val="single" w:sz="8" w:space="0" w:color="auto"/>
            </w:tcBorders>
            <w:shd w:val="clear" w:color="auto" w:fill="auto"/>
            <w:vAlign w:val="center"/>
            <w:hideMark/>
          </w:tcPr>
          <w:p w14:paraId="6E5D5CC0"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943" w:type="dxa"/>
            <w:tcBorders>
              <w:top w:val="nil"/>
              <w:left w:val="nil"/>
              <w:bottom w:val="nil"/>
              <w:right w:val="single" w:sz="8" w:space="0" w:color="auto"/>
            </w:tcBorders>
            <w:shd w:val="clear" w:color="auto" w:fill="auto"/>
            <w:vAlign w:val="center"/>
            <w:hideMark/>
          </w:tcPr>
          <w:p w14:paraId="0EBC1E1A"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r>
      <w:tr w:rsidR="00A053D8" w:rsidRPr="00CF48A1" w14:paraId="4455884D" w14:textId="77777777" w:rsidTr="00AE1C31">
        <w:trPr>
          <w:trHeight w:val="636"/>
        </w:trPr>
        <w:tc>
          <w:tcPr>
            <w:tcW w:w="2117" w:type="dxa"/>
            <w:vMerge/>
            <w:tcBorders>
              <w:top w:val="nil"/>
              <w:left w:val="single" w:sz="8" w:space="0" w:color="auto"/>
              <w:bottom w:val="single" w:sz="8" w:space="0" w:color="000000"/>
              <w:right w:val="single" w:sz="8" w:space="0" w:color="auto"/>
            </w:tcBorders>
            <w:vAlign w:val="center"/>
            <w:hideMark/>
          </w:tcPr>
          <w:p w14:paraId="3AA70C2B"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358AA36A"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Molécules Chères et sans bénéfice</w:t>
            </w:r>
          </w:p>
        </w:tc>
        <w:tc>
          <w:tcPr>
            <w:tcW w:w="1276" w:type="dxa"/>
            <w:tcBorders>
              <w:top w:val="nil"/>
              <w:left w:val="nil"/>
              <w:bottom w:val="single" w:sz="8" w:space="0" w:color="auto"/>
              <w:right w:val="single" w:sz="8" w:space="0" w:color="auto"/>
            </w:tcBorders>
            <w:shd w:val="clear" w:color="auto" w:fill="auto"/>
            <w:vAlign w:val="center"/>
            <w:hideMark/>
          </w:tcPr>
          <w:p w14:paraId="22ABF286"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6.18(3.44)</w:t>
            </w:r>
          </w:p>
        </w:tc>
        <w:tc>
          <w:tcPr>
            <w:tcW w:w="850" w:type="dxa"/>
            <w:tcBorders>
              <w:top w:val="nil"/>
              <w:left w:val="nil"/>
              <w:bottom w:val="single" w:sz="8" w:space="0" w:color="000000"/>
              <w:right w:val="single" w:sz="8" w:space="0" w:color="auto"/>
            </w:tcBorders>
            <w:shd w:val="clear" w:color="auto" w:fill="auto"/>
            <w:vAlign w:val="center"/>
            <w:hideMark/>
          </w:tcPr>
          <w:p w14:paraId="3983D06D"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1134" w:type="dxa"/>
            <w:tcBorders>
              <w:top w:val="nil"/>
              <w:left w:val="nil"/>
              <w:bottom w:val="single" w:sz="8" w:space="0" w:color="000000"/>
              <w:right w:val="single" w:sz="8" w:space="0" w:color="auto"/>
            </w:tcBorders>
            <w:shd w:val="clear" w:color="auto" w:fill="auto"/>
            <w:vAlign w:val="center"/>
            <w:hideMark/>
          </w:tcPr>
          <w:p w14:paraId="10DFC5F5"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943" w:type="dxa"/>
            <w:tcBorders>
              <w:top w:val="nil"/>
              <w:left w:val="nil"/>
              <w:bottom w:val="single" w:sz="8" w:space="0" w:color="000000"/>
              <w:right w:val="single" w:sz="8" w:space="0" w:color="auto"/>
            </w:tcBorders>
            <w:shd w:val="clear" w:color="auto" w:fill="auto"/>
            <w:vAlign w:val="center"/>
            <w:hideMark/>
          </w:tcPr>
          <w:p w14:paraId="73BA121B"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r>
      <w:tr w:rsidR="00A053D8" w:rsidRPr="00CF48A1" w14:paraId="328BCBE0" w14:textId="77777777" w:rsidTr="00AE1C31">
        <w:trPr>
          <w:trHeight w:val="396"/>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205ABA6E"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Les retours des patients concernant les I-SGLT2</w:t>
            </w:r>
          </w:p>
        </w:tc>
        <w:tc>
          <w:tcPr>
            <w:tcW w:w="3260" w:type="dxa"/>
            <w:tcBorders>
              <w:top w:val="nil"/>
              <w:left w:val="nil"/>
              <w:bottom w:val="single" w:sz="8" w:space="0" w:color="auto"/>
              <w:right w:val="single" w:sz="8" w:space="0" w:color="auto"/>
            </w:tcBorders>
            <w:shd w:val="clear" w:color="auto" w:fill="auto"/>
            <w:vAlign w:val="center"/>
            <w:hideMark/>
          </w:tcPr>
          <w:p w14:paraId="53AEDA3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Bien</w:t>
            </w:r>
          </w:p>
        </w:tc>
        <w:tc>
          <w:tcPr>
            <w:tcW w:w="1276" w:type="dxa"/>
            <w:tcBorders>
              <w:top w:val="nil"/>
              <w:left w:val="nil"/>
              <w:bottom w:val="single" w:sz="8" w:space="0" w:color="auto"/>
              <w:right w:val="single" w:sz="8" w:space="0" w:color="auto"/>
            </w:tcBorders>
            <w:shd w:val="clear" w:color="auto" w:fill="auto"/>
            <w:vAlign w:val="center"/>
            <w:hideMark/>
          </w:tcPr>
          <w:p w14:paraId="75F72C8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6.08(2.87)</w:t>
            </w:r>
          </w:p>
        </w:tc>
        <w:tc>
          <w:tcPr>
            <w:tcW w:w="850" w:type="dxa"/>
            <w:vMerge w:val="restart"/>
            <w:tcBorders>
              <w:top w:val="nil"/>
              <w:left w:val="single" w:sz="8" w:space="0" w:color="auto"/>
              <w:bottom w:val="nil"/>
              <w:right w:val="single" w:sz="8" w:space="0" w:color="auto"/>
            </w:tcBorders>
            <w:shd w:val="clear" w:color="auto" w:fill="auto"/>
            <w:vAlign w:val="center"/>
            <w:hideMark/>
          </w:tcPr>
          <w:p w14:paraId="2675079F"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2.23</w:t>
            </w:r>
          </w:p>
        </w:tc>
        <w:tc>
          <w:tcPr>
            <w:tcW w:w="1134" w:type="dxa"/>
            <w:vMerge w:val="restart"/>
            <w:tcBorders>
              <w:top w:val="nil"/>
              <w:left w:val="single" w:sz="8" w:space="0" w:color="auto"/>
              <w:bottom w:val="nil"/>
              <w:right w:val="single" w:sz="8" w:space="0" w:color="auto"/>
            </w:tcBorders>
            <w:shd w:val="clear" w:color="auto" w:fill="auto"/>
            <w:vAlign w:val="center"/>
            <w:hideMark/>
          </w:tcPr>
          <w:p w14:paraId="72B235E7"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144</w:t>
            </w:r>
          </w:p>
        </w:tc>
        <w:tc>
          <w:tcPr>
            <w:tcW w:w="943" w:type="dxa"/>
            <w:vMerge w:val="restart"/>
            <w:tcBorders>
              <w:top w:val="nil"/>
              <w:left w:val="single" w:sz="8" w:space="0" w:color="auto"/>
              <w:bottom w:val="nil"/>
              <w:right w:val="single" w:sz="8" w:space="0" w:color="auto"/>
            </w:tcBorders>
            <w:shd w:val="clear" w:color="auto" w:fill="auto"/>
            <w:vAlign w:val="center"/>
            <w:hideMark/>
          </w:tcPr>
          <w:p w14:paraId="39CAC246"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0.087</w:t>
            </w:r>
          </w:p>
        </w:tc>
      </w:tr>
      <w:tr w:rsidR="00A053D8" w:rsidRPr="00CF48A1" w14:paraId="3814009A"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38191F0D"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36C904EC"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Très bien</w:t>
            </w:r>
          </w:p>
        </w:tc>
        <w:tc>
          <w:tcPr>
            <w:tcW w:w="1276" w:type="dxa"/>
            <w:tcBorders>
              <w:top w:val="nil"/>
              <w:left w:val="nil"/>
              <w:bottom w:val="single" w:sz="8" w:space="0" w:color="auto"/>
              <w:right w:val="single" w:sz="8" w:space="0" w:color="auto"/>
            </w:tcBorders>
            <w:shd w:val="clear" w:color="auto" w:fill="auto"/>
            <w:vAlign w:val="center"/>
            <w:hideMark/>
          </w:tcPr>
          <w:p w14:paraId="58CEAB59"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6.56(3.24)</w:t>
            </w:r>
          </w:p>
        </w:tc>
        <w:tc>
          <w:tcPr>
            <w:tcW w:w="850" w:type="dxa"/>
            <w:vMerge/>
            <w:tcBorders>
              <w:top w:val="nil"/>
              <w:left w:val="single" w:sz="8" w:space="0" w:color="auto"/>
              <w:bottom w:val="nil"/>
              <w:right w:val="single" w:sz="8" w:space="0" w:color="auto"/>
            </w:tcBorders>
            <w:vAlign w:val="center"/>
            <w:hideMark/>
          </w:tcPr>
          <w:p w14:paraId="0B905877" w14:textId="77777777" w:rsidR="00A053D8" w:rsidRPr="00CF48A1" w:rsidRDefault="00A053D8" w:rsidP="00A053D8">
            <w:pPr>
              <w:rPr>
                <w:rFonts w:eastAsia="Times New Roman"/>
                <w:color w:val="000000"/>
                <w:lang w:eastAsia="fr-FR"/>
              </w:rPr>
            </w:pPr>
          </w:p>
        </w:tc>
        <w:tc>
          <w:tcPr>
            <w:tcW w:w="1134" w:type="dxa"/>
            <w:vMerge/>
            <w:tcBorders>
              <w:top w:val="nil"/>
              <w:left w:val="single" w:sz="8" w:space="0" w:color="auto"/>
              <w:bottom w:val="nil"/>
              <w:right w:val="single" w:sz="8" w:space="0" w:color="auto"/>
            </w:tcBorders>
            <w:vAlign w:val="center"/>
            <w:hideMark/>
          </w:tcPr>
          <w:p w14:paraId="3B9E8C9F" w14:textId="77777777" w:rsidR="00A053D8" w:rsidRPr="00CF48A1" w:rsidRDefault="00A053D8" w:rsidP="00A053D8">
            <w:pPr>
              <w:rPr>
                <w:rFonts w:eastAsia="Times New Roman"/>
                <w:color w:val="000000"/>
                <w:lang w:eastAsia="fr-FR"/>
              </w:rPr>
            </w:pPr>
          </w:p>
        </w:tc>
        <w:tc>
          <w:tcPr>
            <w:tcW w:w="943" w:type="dxa"/>
            <w:vMerge/>
            <w:tcBorders>
              <w:top w:val="nil"/>
              <w:left w:val="single" w:sz="8" w:space="0" w:color="auto"/>
              <w:bottom w:val="nil"/>
              <w:right w:val="single" w:sz="8" w:space="0" w:color="auto"/>
            </w:tcBorders>
            <w:vAlign w:val="center"/>
            <w:hideMark/>
          </w:tcPr>
          <w:p w14:paraId="4C857CDD" w14:textId="77777777" w:rsidR="00A053D8" w:rsidRPr="00CF48A1" w:rsidRDefault="00A053D8" w:rsidP="00A053D8">
            <w:pPr>
              <w:rPr>
                <w:rFonts w:eastAsia="Times New Roman"/>
                <w:color w:val="000000"/>
                <w:lang w:eastAsia="fr-FR"/>
              </w:rPr>
            </w:pPr>
          </w:p>
        </w:tc>
      </w:tr>
      <w:tr w:rsidR="00A053D8" w:rsidRPr="00CF48A1" w14:paraId="163B5363"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7267F75F"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1989F924"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Excellent</w:t>
            </w:r>
          </w:p>
        </w:tc>
        <w:tc>
          <w:tcPr>
            <w:tcW w:w="1276" w:type="dxa"/>
            <w:tcBorders>
              <w:top w:val="nil"/>
              <w:left w:val="nil"/>
              <w:bottom w:val="single" w:sz="8" w:space="0" w:color="auto"/>
              <w:right w:val="single" w:sz="8" w:space="0" w:color="auto"/>
            </w:tcBorders>
            <w:shd w:val="clear" w:color="auto" w:fill="auto"/>
            <w:vAlign w:val="center"/>
            <w:hideMark/>
          </w:tcPr>
          <w:p w14:paraId="5D2796D8"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6.41(2.84)</w:t>
            </w:r>
          </w:p>
        </w:tc>
        <w:tc>
          <w:tcPr>
            <w:tcW w:w="850" w:type="dxa"/>
            <w:tcBorders>
              <w:top w:val="nil"/>
              <w:left w:val="nil"/>
              <w:bottom w:val="nil"/>
              <w:right w:val="single" w:sz="8" w:space="0" w:color="auto"/>
            </w:tcBorders>
            <w:shd w:val="clear" w:color="auto" w:fill="auto"/>
            <w:vAlign w:val="center"/>
            <w:hideMark/>
          </w:tcPr>
          <w:p w14:paraId="52D2C238"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1134" w:type="dxa"/>
            <w:tcBorders>
              <w:top w:val="nil"/>
              <w:left w:val="nil"/>
              <w:bottom w:val="nil"/>
              <w:right w:val="single" w:sz="8" w:space="0" w:color="auto"/>
            </w:tcBorders>
            <w:shd w:val="clear" w:color="auto" w:fill="auto"/>
            <w:vAlign w:val="center"/>
            <w:hideMark/>
          </w:tcPr>
          <w:p w14:paraId="7A71D1CE"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943" w:type="dxa"/>
            <w:tcBorders>
              <w:top w:val="nil"/>
              <w:left w:val="nil"/>
              <w:bottom w:val="nil"/>
              <w:right w:val="single" w:sz="8" w:space="0" w:color="auto"/>
            </w:tcBorders>
            <w:shd w:val="clear" w:color="auto" w:fill="auto"/>
            <w:vAlign w:val="center"/>
            <w:hideMark/>
          </w:tcPr>
          <w:p w14:paraId="7B8AC883"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r>
      <w:tr w:rsidR="00A053D8" w:rsidRPr="00CF48A1" w14:paraId="74B23D67"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7CFAB1F0"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38892E23"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Mauvais retours</w:t>
            </w:r>
          </w:p>
        </w:tc>
        <w:tc>
          <w:tcPr>
            <w:tcW w:w="1276" w:type="dxa"/>
            <w:tcBorders>
              <w:top w:val="nil"/>
              <w:left w:val="nil"/>
              <w:bottom w:val="single" w:sz="8" w:space="0" w:color="auto"/>
              <w:right w:val="single" w:sz="8" w:space="0" w:color="auto"/>
            </w:tcBorders>
            <w:shd w:val="clear" w:color="auto" w:fill="auto"/>
            <w:vAlign w:val="center"/>
            <w:hideMark/>
          </w:tcPr>
          <w:p w14:paraId="01BBC890"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7.29(2.53)</w:t>
            </w:r>
          </w:p>
        </w:tc>
        <w:tc>
          <w:tcPr>
            <w:tcW w:w="850" w:type="dxa"/>
            <w:tcBorders>
              <w:top w:val="nil"/>
              <w:left w:val="nil"/>
              <w:bottom w:val="single" w:sz="8" w:space="0" w:color="000000"/>
              <w:right w:val="single" w:sz="8" w:space="0" w:color="auto"/>
            </w:tcBorders>
            <w:shd w:val="clear" w:color="auto" w:fill="auto"/>
            <w:vAlign w:val="center"/>
            <w:hideMark/>
          </w:tcPr>
          <w:p w14:paraId="1C09F99B"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1134" w:type="dxa"/>
            <w:tcBorders>
              <w:top w:val="nil"/>
              <w:left w:val="nil"/>
              <w:bottom w:val="single" w:sz="8" w:space="0" w:color="000000"/>
              <w:right w:val="single" w:sz="8" w:space="0" w:color="auto"/>
            </w:tcBorders>
            <w:shd w:val="clear" w:color="auto" w:fill="auto"/>
            <w:vAlign w:val="center"/>
            <w:hideMark/>
          </w:tcPr>
          <w:p w14:paraId="45B9791E"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943" w:type="dxa"/>
            <w:tcBorders>
              <w:top w:val="nil"/>
              <w:left w:val="nil"/>
              <w:bottom w:val="single" w:sz="8" w:space="0" w:color="000000"/>
              <w:right w:val="single" w:sz="8" w:space="0" w:color="auto"/>
            </w:tcBorders>
            <w:shd w:val="clear" w:color="auto" w:fill="auto"/>
            <w:vAlign w:val="center"/>
            <w:hideMark/>
          </w:tcPr>
          <w:p w14:paraId="77683B27"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r>
      <w:tr w:rsidR="00A053D8" w:rsidRPr="00CF48A1" w14:paraId="1D221D03" w14:textId="77777777" w:rsidTr="00AE1C31">
        <w:trPr>
          <w:trHeight w:val="636"/>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74EA8A88"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Les obstacles de dispensation</w:t>
            </w:r>
          </w:p>
        </w:tc>
        <w:tc>
          <w:tcPr>
            <w:tcW w:w="3260" w:type="dxa"/>
            <w:tcBorders>
              <w:top w:val="nil"/>
              <w:left w:val="nil"/>
              <w:bottom w:val="single" w:sz="8" w:space="0" w:color="auto"/>
              <w:right w:val="single" w:sz="8" w:space="0" w:color="auto"/>
            </w:tcBorders>
            <w:shd w:val="clear" w:color="auto" w:fill="auto"/>
            <w:vAlign w:val="center"/>
            <w:hideMark/>
          </w:tcPr>
          <w:p w14:paraId="64D175D2"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Les patients ont des informations erronées</w:t>
            </w:r>
          </w:p>
        </w:tc>
        <w:tc>
          <w:tcPr>
            <w:tcW w:w="1276" w:type="dxa"/>
            <w:tcBorders>
              <w:top w:val="nil"/>
              <w:left w:val="nil"/>
              <w:bottom w:val="single" w:sz="8" w:space="0" w:color="auto"/>
              <w:right w:val="single" w:sz="8" w:space="0" w:color="auto"/>
            </w:tcBorders>
            <w:shd w:val="clear" w:color="auto" w:fill="auto"/>
            <w:vAlign w:val="center"/>
            <w:hideMark/>
          </w:tcPr>
          <w:p w14:paraId="52A1E137"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6(2.57)</w:t>
            </w:r>
          </w:p>
        </w:tc>
        <w:tc>
          <w:tcPr>
            <w:tcW w:w="850" w:type="dxa"/>
            <w:vMerge w:val="restart"/>
            <w:tcBorders>
              <w:top w:val="nil"/>
              <w:left w:val="single" w:sz="8" w:space="0" w:color="auto"/>
              <w:bottom w:val="nil"/>
              <w:right w:val="single" w:sz="8" w:space="0" w:color="auto"/>
            </w:tcBorders>
            <w:shd w:val="clear" w:color="auto" w:fill="auto"/>
            <w:vAlign w:val="center"/>
            <w:hideMark/>
          </w:tcPr>
          <w:p w14:paraId="2749D259"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2.65</w:t>
            </w:r>
          </w:p>
        </w:tc>
        <w:tc>
          <w:tcPr>
            <w:tcW w:w="1134" w:type="dxa"/>
            <w:vMerge w:val="restart"/>
            <w:tcBorders>
              <w:top w:val="nil"/>
              <w:left w:val="single" w:sz="8" w:space="0" w:color="auto"/>
              <w:bottom w:val="nil"/>
              <w:right w:val="single" w:sz="8" w:space="0" w:color="auto"/>
            </w:tcBorders>
            <w:shd w:val="clear" w:color="auto" w:fill="auto"/>
            <w:vAlign w:val="center"/>
            <w:hideMark/>
          </w:tcPr>
          <w:p w14:paraId="5617723A"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143</w:t>
            </w:r>
          </w:p>
        </w:tc>
        <w:tc>
          <w:tcPr>
            <w:tcW w:w="943" w:type="dxa"/>
            <w:vMerge w:val="restart"/>
            <w:tcBorders>
              <w:top w:val="nil"/>
              <w:left w:val="single" w:sz="8" w:space="0" w:color="auto"/>
              <w:bottom w:val="nil"/>
              <w:right w:val="single" w:sz="8" w:space="0" w:color="auto"/>
            </w:tcBorders>
            <w:shd w:val="clear" w:color="auto" w:fill="auto"/>
            <w:vAlign w:val="center"/>
            <w:hideMark/>
          </w:tcPr>
          <w:p w14:paraId="5C86095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0.051</w:t>
            </w:r>
          </w:p>
        </w:tc>
      </w:tr>
      <w:tr w:rsidR="00A053D8" w:rsidRPr="00CF48A1" w14:paraId="7C0071C3" w14:textId="77777777" w:rsidTr="00AE1C31">
        <w:trPr>
          <w:trHeight w:val="1260"/>
        </w:trPr>
        <w:tc>
          <w:tcPr>
            <w:tcW w:w="2117" w:type="dxa"/>
            <w:vMerge/>
            <w:tcBorders>
              <w:top w:val="nil"/>
              <w:left w:val="single" w:sz="8" w:space="0" w:color="auto"/>
              <w:bottom w:val="single" w:sz="8" w:space="0" w:color="000000"/>
              <w:right w:val="single" w:sz="8" w:space="0" w:color="auto"/>
            </w:tcBorders>
            <w:vAlign w:val="center"/>
            <w:hideMark/>
          </w:tcPr>
          <w:p w14:paraId="40BFC8F7"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188D9382"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Mes connaissances ne sont pas suffisantes pour répondre à des questions des patients</w:t>
            </w:r>
          </w:p>
        </w:tc>
        <w:tc>
          <w:tcPr>
            <w:tcW w:w="1276" w:type="dxa"/>
            <w:tcBorders>
              <w:top w:val="nil"/>
              <w:left w:val="nil"/>
              <w:bottom w:val="single" w:sz="8" w:space="0" w:color="auto"/>
              <w:right w:val="single" w:sz="8" w:space="0" w:color="auto"/>
            </w:tcBorders>
            <w:shd w:val="clear" w:color="auto" w:fill="auto"/>
            <w:vAlign w:val="center"/>
            <w:hideMark/>
          </w:tcPr>
          <w:p w14:paraId="0A60ABA9"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6.15(2.85)</w:t>
            </w:r>
          </w:p>
        </w:tc>
        <w:tc>
          <w:tcPr>
            <w:tcW w:w="850" w:type="dxa"/>
            <w:vMerge/>
            <w:tcBorders>
              <w:top w:val="nil"/>
              <w:left w:val="single" w:sz="8" w:space="0" w:color="auto"/>
              <w:bottom w:val="nil"/>
              <w:right w:val="single" w:sz="8" w:space="0" w:color="auto"/>
            </w:tcBorders>
            <w:vAlign w:val="center"/>
            <w:hideMark/>
          </w:tcPr>
          <w:p w14:paraId="39A6262C" w14:textId="77777777" w:rsidR="00A053D8" w:rsidRPr="00CF48A1" w:rsidRDefault="00A053D8" w:rsidP="00A053D8">
            <w:pPr>
              <w:rPr>
                <w:rFonts w:eastAsia="Times New Roman"/>
                <w:color w:val="000000"/>
                <w:lang w:eastAsia="fr-FR"/>
              </w:rPr>
            </w:pPr>
          </w:p>
        </w:tc>
        <w:tc>
          <w:tcPr>
            <w:tcW w:w="1134" w:type="dxa"/>
            <w:vMerge/>
            <w:tcBorders>
              <w:top w:val="nil"/>
              <w:left w:val="single" w:sz="8" w:space="0" w:color="auto"/>
              <w:bottom w:val="nil"/>
              <w:right w:val="single" w:sz="8" w:space="0" w:color="auto"/>
            </w:tcBorders>
            <w:vAlign w:val="center"/>
            <w:hideMark/>
          </w:tcPr>
          <w:p w14:paraId="36132D2B" w14:textId="77777777" w:rsidR="00A053D8" w:rsidRPr="00CF48A1" w:rsidRDefault="00A053D8" w:rsidP="00A053D8">
            <w:pPr>
              <w:rPr>
                <w:rFonts w:eastAsia="Times New Roman"/>
                <w:color w:val="000000"/>
                <w:lang w:eastAsia="fr-FR"/>
              </w:rPr>
            </w:pPr>
          </w:p>
        </w:tc>
        <w:tc>
          <w:tcPr>
            <w:tcW w:w="943" w:type="dxa"/>
            <w:vMerge/>
            <w:tcBorders>
              <w:top w:val="nil"/>
              <w:left w:val="single" w:sz="8" w:space="0" w:color="auto"/>
              <w:bottom w:val="nil"/>
              <w:right w:val="single" w:sz="8" w:space="0" w:color="auto"/>
            </w:tcBorders>
            <w:vAlign w:val="center"/>
            <w:hideMark/>
          </w:tcPr>
          <w:p w14:paraId="18B89387" w14:textId="77777777" w:rsidR="00A053D8" w:rsidRPr="00CF48A1" w:rsidRDefault="00A053D8" w:rsidP="00A053D8">
            <w:pPr>
              <w:rPr>
                <w:rFonts w:eastAsia="Times New Roman"/>
                <w:color w:val="000000"/>
                <w:lang w:eastAsia="fr-FR"/>
              </w:rPr>
            </w:pPr>
          </w:p>
        </w:tc>
      </w:tr>
      <w:tr w:rsidR="00A053D8" w:rsidRPr="00CF48A1" w14:paraId="02572750" w14:textId="77777777" w:rsidTr="00AE1C31">
        <w:trPr>
          <w:trHeight w:val="636"/>
        </w:trPr>
        <w:tc>
          <w:tcPr>
            <w:tcW w:w="2117" w:type="dxa"/>
            <w:vMerge/>
            <w:tcBorders>
              <w:top w:val="nil"/>
              <w:left w:val="single" w:sz="8" w:space="0" w:color="auto"/>
              <w:bottom w:val="single" w:sz="8" w:space="0" w:color="000000"/>
              <w:right w:val="single" w:sz="8" w:space="0" w:color="auto"/>
            </w:tcBorders>
            <w:vAlign w:val="center"/>
            <w:hideMark/>
          </w:tcPr>
          <w:p w14:paraId="3819503C"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3E27D428"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Médicaments chers et non remboursables</w:t>
            </w:r>
          </w:p>
        </w:tc>
        <w:tc>
          <w:tcPr>
            <w:tcW w:w="1276" w:type="dxa"/>
            <w:tcBorders>
              <w:top w:val="nil"/>
              <w:left w:val="nil"/>
              <w:bottom w:val="single" w:sz="8" w:space="0" w:color="auto"/>
              <w:right w:val="single" w:sz="8" w:space="0" w:color="auto"/>
            </w:tcBorders>
            <w:shd w:val="clear" w:color="auto" w:fill="auto"/>
            <w:vAlign w:val="center"/>
            <w:hideMark/>
          </w:tcPr>
          <w:p w14:paraId="1902CB84"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6.67(3.2)</w:t>
            </w:r>
          </w:p>
        </w:tc>
        <w:tc>
          <w:tcPr>
            <w:tcW w:w="850" w:type="dxa"/>
            <w:tcBorders>
              <w:top w:val="nil"/>
              <w:left w:val="nil"/>
              <w:bottom w:val="nil"/>
              <w:right w:val="single" w:sz="8" w:space="0" w:color="auto"/>
            </w:tcBorders>
            <w:shd w:val="clear" w:color="auto" w:fill="auto"/>
            <w:vAlign w:val="center"/>
            <w:hideMark/>
          </w:tcPr>
          <w:p w14:paraId="1B463749"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1134" w:type="dxa"/>
            <w:tcBorders>
              <w:top w:val="nil"/>
              <w:left w:val="nil"/>
              <w:bottom w:val="nil"/>
              <w:right w:val="single" w:sz="8" w:space="0" w:color="auto"/>
            </w:tcBorders>
            <w:shd w:val="clear" w:color="auto" w:fill="auto"/>
            <w:vAlign w:val="center"/>
            <w:hideMark/>
          </w:tcPr>
          <w:p w14:paraId="6FC3A510"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943" w:type="dxa"/>
            <w:tcBorders>
              <w:top w:val="nil"/>
              <w:left w:val="nil"/>
              <w:bottom w:val="nil"/>
              <w:right w:val="single" w:sz="8" w:space="0" w:color="auto"/>
            </w:tcBorders>
            <w:shd w:val="clear" w:color="auto" w:fill="auto"/>
            <w:vAlign w:val="center"/>
            <w:hideMark/>
          </w:tcPr>
          <w:p w14:paraId="3FA043D5"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r>
      <w:tr w:rsidR="00A053D8" w:rsidRPr="00CF48A1" w14:paraId="58BD04E7"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648BCEE0"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628C44A9"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Aucun obstacle</w:t>
            </w:r>
          </w:p>
        </w:tc>
        <w:tc>
          <w:tcPr>
            <w:tcW w:w="1276" w:type="dxa"/>
            <w:tcBorders>
              <w:top w:val="nil"/>
              <w:left w:val="nil"/>
              <w:bottom w:val="single" w:sz="8" w:space="0" w:color="auto"/>
              <w:right w:val="single" w:sz="8" w:space="0" w:color="auto"/>
            </w:tcBorders>
            <w:shd w:val="clear" w:color="auto" w:fill="auto"/>
            <w:vAlign w:val="center"/>
            <w:hideMark/>
          </w:tcPr>
          <w:p w14:paraId="3A32FDB5"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5.84(3.02)</w:t>
            </w:r>
          </w:p>
        </w:tc>
        <w:tc>
          <w:tcPr>
            <w:tcW w:w="850" w:type="dxa"/>
            <w:tcBorders>
              <w:top w:val="nil"/>
              <w:left w:val="nil"/>
              <w:bottom w:val="single" w:sz="8" w:space="0" w:color="000000"/>
              <w:right w:val="single" w:sz="8" w:space="0" w:color="auto"/>
            </w:tcBorders>
            <w:shd w:val="clear" w:color="auto" w:fill="auto"/>
            <w:vAlign w:val="center"/>
            <w:hideMark/>
          </w:tcPr>
          <w:p w14:paraId="513BDB53"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1134" w:type="dxa"/>
            <w:tcBorders>
              <w:top w:val="nil"/>
              <w:left w:val="nil"/>
              <w:bottom w:val="single" w:sz="8" w:space="0" w:color="000000"/>
              <w:right w:val="single" w:sz="8" w:space="0" w:color="auto"/>
            </w:tcBorders>
            <w:shd w:val="clear" w:color="auto" w:fill="auto"/>
            <w:vAlign w:val="center"/>
            <w:hideMark/>
          </w:tcPr>
          <w:p w14:paraId="0059DF70"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943" w:type="dxa"/>
            <w:tcBorders>
              <w:top w:val="nil"/>
              <w:left w:val="nil"/>
              <w:bottom w:val="single" w:sz="8" w:space="0" w:color="000000"/>
              <w:right w:val="single" w:sz="8" w:space="0" w:color="auto"/>
            </w:tcBorders>
            <w:shd w:val="clear" w:color="auto" w:fill="auto"/>
            <w:vAlign w:val="center"/>
            <w:hideMark/>
          </w:tcPr>
          <w:p w14:paraId="12DD8ED4"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r>
      <w:tr w:rsidR="00A053D8" w:rsidRPr="00CF48A1" w14:paraId="60F947ED" w14:textId="77777777" w:rsidTr="00AE1C31">
        <w:trPr>
          <w:trHeight w:val="324"/>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6671E85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Niveau d’auto-évaluation</w:t>
            </w:r>
          </w:p>
        </w:tc>
        <w:tc>
          <w:tcPr>
            <w:tcW w:w="3260" w:type="dxa"/>
            <w:tcBorders>
              <w:top w:val="nil"/>
              <w:left w:val="nil"/>
              <w:bottom w:val="single" w:sz="8" w:space="0" w:color="auto"/>
              <w:right w:val="single" w:sz="8" w:space="0" w:color="auto"/>
            </w:tcBorders>
            <w:shd w:val="clear" w:color="auto" w:fill="auto"/>
            <w:vAlign w:val="center"/>
            <w:hideMark/>
          </w:tcPr>
          <w:p w14:paraId="3AEC3105"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Excellent</w:t>
            </w:r>
          </w:p>
        </w:tc>
        <w:tc>
          <w:tcPr>
            <w:tcW w:w="1276" w:type="dxa"/>
            <w:tcBorders>
              <w:top w:val="nil"/>
              <w:left w:val="nil"/>
              <w:bottom w:val="single" w:sz="8" w:space="0" w:color="auto"/>
              <w:right w:val="single" w:sz="8" w:space="0" w:color="auto"/>
            </w:tcBorders>
            <w:shd w:val="clear" w:color="auto" w:fill="auto"/>
            <w:vAlign w:val="center"/>
            <w:hideMark/>
          </w:tcPr>
          <w:p w14:paraId="1221629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7.04(3.38)</w:t>
            </w:r>
          </w:p>
        </w:tc>
        <w:tc>
          <w:tcPr>
            <w:tcW w:w="850" w:type="dxa"/>
            <w:vMerge w:val="restart"/>
            <w:tcBorders>
              <w:top w:val="nil"/>
              <w:left w:val="single" w:sz="8" w:space="0" w:color="auto"/>
              <w:bottom w:val="nil"/>
              <w:right w:val="single" w:sz="8" w:space="0" w:color="auto"/>
            </w:tcBorders>
            <w:shd w:val="clear" w:color="auto" w:fill="auto"/>
            <w:vAlign w:val="center"/>
            <w:hideMark/>
          </w:tcPr>
          <w:p w14:paraId="25D0D3B0"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2.95</w:t>
            </w:r>
          </w:p>
        </w:tc>
        <w:tc>
          <w:tcPr>
            <w:tcW w:w="1134" w:type="dxa"/>
            <w:vMerge w:val="restart"/>
            <w:tcBorders>
              <w:top w:val="nil"/>
              <w:left w:val="single" w:sz="8" w:space="0" w:color="auto"/>
              <w:bottom w:val="nil"/>
              <w:right w:val="single" w:sz="8" w:space="0" w:color="auto"/>
            </w:tcBorders>
            <w:shd w:val="clear" w:color="auto" w:fill="auto"/>
            <w:vAlign w:val="center"/>
            <w:hideMark/>
          </w:tcPr>
          <w:p w14:paraId="5755D8AF"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143</w:t>
            </w:r>
          </w:p>
        </w:tc>
        <w:tc>
          <w:tcPr>
            <w:tcW w:w="943" w:type="dxa"/>
            <w:vMerge w:val="restart"/>
            <w:tcBorders>
              <w:top w:val="nil"/>
              <w:left w:val="single" w:sz="8" w:space="0" w:color="auto"/>
              <w:bottom w:val="nil"/>
              <w:right w:val="single" w:sz="8" w:space="0" w:color="auto"/>
            </w:tcBorders>
            <w:shd w:val="clear" w:color="auto" w:fill="auto"/>
            <w:vAlign w:val="center"/>
            <w:hideMark/>
          </w:tcPr>
          <w:p w14:paraId="136691EF"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0.035</w:t>
            </w:r>
          </w:p>
        </w:tc>
      </w:tr>
      <w:tr w:rsidR="00A053D8" w:rsidRPr="00CF48A1" w14:paraId="3C95FA80"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56494196"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5366064F"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Très bien</w:t>
            </w:r>
          </w:p>
        </w:tc>
        <w:tc>
          <w:tcPr>
            <w:tcW w:w="1276" w:type="dxa"/>
            <w:tcBorders>
              <w:top w:val="nil"/>
              <w:left w:val="nil"/>
              <w:bottom w:val="single" w:sz="8" w:space="0" w:color="auto"/>
              <w:right w:val="single" w:sz="8" w:space="0" w:color="auto"/>
            </w:tcBorders>
            <w:shd w:val="clear" w:color="auto" w:fill="auto"/>
            <w:vAlign w:val="center"/>
            <w:hideMark/>
          </w:tcPr>
          <w:p w14:paraId="0C0CF758"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6.46(3.03)</w:t>
            </w:r>
          </w:p>
        </w:tc>
        <w:tc>
          <w:tcPr>
            <w:tcW w:w="850" w:type="dxa"/>
            <w:vMerge/>
            <w:tcBorders>
              <w:top w:val="nil"/>
              <w:left w:val="single" w:sz="8" w:space="0" w:color="auto"/>
              <w:bottom w:val="nil"/>
              <w:right w:val="single" w:sz="8" w:space="0" w:color="auto"/>
            </w:tcBorders>
            <w:vAlign w:val="center"/>
            <w:hideMark/>
          </w:tcPr>
          <w:p w14:paraId="68799AFF" w14:textId="77777777" w:rsidR="00A053D8" w:rsidRPr="00CF48A1" w:rsidRDefault="00A053D8" w:rsidP="00A053D8">
            <w:pPr>
              <w:rPr>
                <w:rFonts w:eastAsia="Times New Roman"/>
                <w:color w:val="000000"/>
                <w:lang w:eastAsia="fr-FR"/>
              </w:rPr>
            </w:pPr>
          </w:p>
        </w:tc>
        <w:tc>
          <w:tcPr>
            <w:tcW w:w="1134" w:type="dxa"/>
            <w:vMerge/>
            <w:tcBorders>
              <w:top w:val="nil"/>
              <w:left w:val="single" w:sz="8" w:space="0" w:color="auto"/>
              <w:bottom w:val="nil"/>
              <w:right w:val="single" w:sz="8" w:space="0" w:color="auto"/>
            </w:tcBorders>
            <w:vAlign w:val="center"/>
            <w:hideMark/>
          </w:tcPr>
          <w:p w14:paraId="1C3C130A" w14:textId="77777777" w:rsidR="00A053D8" w:rsidRPr="00CF48A1" w:rsidRDefault="00A053D8" w:rsidP="00A053D8">
            <w:pPr>
              <w:rPr>
                <w:rFonts w:eastAsia="Times New Roman"/>
                <w:color w:val="000000"/>
                <w:lang w:eastAsia="fr-FR"/>
              </w:rPr>
            </w:pPr>
          </w:p>
        </w:tc>
        <w:tc>
          <w:tcPr>
            <w:tcW w:w="943" w:type="dxa"/>
            <w:vMerge/>
            <w:tcBorders>
              <w:top w:val="nil"/>
              <w:left w:val="single" w:sz="8" w:space="0" w:color="auto"/>
              <w:bottom w:val="nil"/>
              <w:right w:val="single" w:sz="8" w:space="0" w:color="auto"/>
            </w:tcBorders>
            <w:vAlign w:val="center"/>
            <w:hideMark/>
          </w:tcPr>
          <w:p w14:paraId="47B31769" w14:textId="77777777" w:rsidR="00A053D8" w:rsidRPr="00CF48A1" w:rsidRDefault="00A053D8" w:rsidP="00A053D8">
            <w:pPr>
              <w:rPr>
                <w:rFonts w:eastAsia="Times New Roman"/>
                <w:color w:val="000000"/>
                <w:lang w:eastAsia="fr-FR"/>
              </w:rPr>
            </w:pPr>
          </w:p>
        </w:tc>
      </w:tr>
      <w:tr w:rsidR="00A053D8" w:rsidRPr="00CF48A1" w14:paraId="2E645F2F"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60B7D4CB"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076B56DA"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Bien</w:t>
            </w:r>
          </w:p>
        </w:tc>
        <w:tc>
          <w:tcPr>
            <w:tcW w:w="1276" w:type="dxa"/>
            <w:tcBorders>
              <w:top w:val="nil"/>
              <w:left w:val="nil"/>
              <w:bottom w:val="single" w:sz="8" w:space="0" w:color="auto"/>
              <w:right w:val="single" w:sz="8" w:space="0" w:color="auto"/>
            </w:tcBorders>
            <w:shd w:val="clear" w:color="auto" w:fill="auto"/>
            <w:vAlign w:val="center"/>
            <w:hideMark/>
          </w:tcPr>
          <w:p w14:paraId="3BEF9A46"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6.45(3.14)</w:t>
            </w:r>
          </w:p>
        </w:tc>
        <w:tc>
          <w:tcPr>
            <w:tcW w:w="850" w:type="dxa"/>
            <w:tcBorders>
              <w:top w:val="nil"/>
              <w:left w:val="nil"/>
              <w:bottom w:val="nil"/>
              <w:right w:val="single" w:sz="8" w:space="0" w:color="auto"/>
            </w:tcBorders>
            <w:shd w:val="clear" w:color="auto" w:fill="auto"/>
            <w:vAlign w:val="center"/>
            <w:hideMark/>
          </w:tcPr>
          <w:p w14:paraId="71FE484B"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1134" w:type="dxa"/>
            <w:tcBorders>
              <w:top w:val="nil"/>
              <w:left w:val="nil"/>
              <w:bottom w:val="nil"/>
              <w:right w:val="single" w:sz="8" w:space="0" w:color="auto"/>
            </w:tcBorders>
            <w:shd w:val="clear" w:color="auto" w:fill="auto"/>
            <w:vAlign w:val="center"/>
            <w:hideMark/>
          </w:tcPr>
          <w:p w14:paraId="43284F6B"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943" w:type="dxa"/>
            <w:tcBorders>
              <w:top w:val="nil"/>
              <w:left w:val="nil"/>
              <w:bottom w:val="nil"/>
              <w:right w:val="single" w:sz="8" w:space="0" w:color="auto"/>
            </w:tcBorders>
            <w:shd w:val="clear" w:color="auto" w:fill="auto"/>
            <w:vAlign w:val="center"/>
            <w:hideMark/>
          </w:tcPr>
          <w:p w14:paraId="7C7BA48B"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r>
      <w:tr w:rsidR="00A053D8" w:rsidRPr="00CF48A1" w14:paraId="6C3537DA"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5BA45D1F"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4B95604D" w14:textId="77777777" w:rsidR="00A053D8" w:rsidRPr="00CF48A1" w:rsidRDefault="00A053D8" w:rsidP="00A053D8">
            <w:pPr>
              <w:jc w:val="center"/>
              <w:rPr>
                <w:rFonts w:eastAsia="Times New Roman"/>
                <w:color w:val="000000"/>
                <w:lang w:eastAsia="fr-FR"/>
              </w:rPr>
            </w:pPr>
            <w:proofErr w:type="gramStart"/>
            <w:r w:rsidRPr="00CF48A1">
              <w:rPr>
                <w:rFonts w:eastAsia="Times New Roman"/>
                <w:color w:val="000000"/>
                <w:lang w:eastAsia="fr-FR"/>
              </w:rPr>
              <w:t>faible</w:t>
            </w:r>
            <w:proofErr w:type="gramEnd"/>
          </w:p>
        </w:tc>
        <w:tc>
          <w:tcPr>
            <w:tcW w:w="1276" w:type="dxa"/>
            <w:tcBorders>
              <w:top w:val="nil"/>
              <w:left w:val="nil"/>
              <w:bottom w:val="single" w:sz="8" w:space="0" w:color="auto"/>
              <w:right w:val="single" w:sz="8" w:space="0" w:color="auto"/>
            </w:tcBorders>
            <w:shd w:val="clear" w:color="auto" w:fill="auto"/>
            <w:vAlign w:val="center"/>
            <w:hideMark/>
          </w:tcPr>
          <w:p w14:paraId="3C9C5558"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5.8(2.69)</w:t>
            </w:r>
          </w:p>
        </w:tc>
        <w:tc>
          <w:tcPr>
            <w:tcW w:w="850" w:type="dxa"/>
            <w:tcBorders>
              <w:top w:val="nil"/>
              <w:left w:val="nil"/>
              <w:bottom w:val="single" w:sz="8" w:space="0" w:color="000000"/>
              <w:right w:val="single" w:sz="8" w:space="0" w:color="auto"/>
            </w:tcBorders>
            <w:shd w:val="clear" w:color="auto" w:fill="auto"/>
            <w:vAlign w:val="center"/>
            <w:hideMark/>
          </w:tcPr>
          <w:p w14:paraId="5482F5F9"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1134" w:type="dxa"/>
            <w:tcBorders>
              <w:top w:val="nil"/>
              <w:left w:val="nil"/>
              <w:bottom w:val="single" w:sz="8" w:space="0" w:color="000000"/>
              <w:right w:val="single" w:sz="8" w:space="0" w:color="auto"/>
            </w:tcBorders>
            <w:shd w:val="clear" w:color="auto" w:fill="auto"/>
            <w:vAlign w:val="center"/>
            <w:hideMark/>
          </w:tcPr>
          <w:p w14:paraId="3F23259A"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c>
          <w:tcPr>
            <w:tcW w:w="943" w:type="dxa"/>
            <w:tcBorders>
              <w:top w:val="nil"/>
              <w:left w:val="nil"/>
              <w:bottom w:val="single" w:sz="8" w:space="0" w:color="000000"/>
              <w:right w:val="single" w:sz="8" w:space="0" w:color="auto"/>
            </w:tcBorders>
            <w:shd w:val="clear" w:color="auto" w:fill="auto"/>
            <w:vAlign w:val="center"/>
            <w:hideMark/>
          </w:tcPr>
          <w:p w14:paraId="42665E1C" w14:textId="77777777" w:rsidR="00A053D8" w:rsidRPr="00CF48A1" w:rsidRDefault="00A053D8" w:rsidP="00A053D8">
            <w:pPr>
              <w:rPr>
                <w:rFonts w:eastAsia="Times New Roman"/>
                <w:color w:val="000000"/>
                <w:lang w:eastAsia="fr-FR"/>
              </w:rPr>
            </w:pPr>
            <w:r w:rsidRPr="00CF48A1">
              <w:rPr>
                <w:rFonts w:eastAsia="Times New Roman"/>
                <w:color w:val="000000"/>
                <w:lang w:eastAsia="fr-FR"/>
              </w:rPr>
              <w:t> </w:t>
            </w:r>
          </w:p>
        </w:tc>
      </w:tr>
      <w:tr w:rsidR="00A053D8" w:rsidRPr="00CF48A1" w14:paraId="0002E4BC" w14:textId="77777777" w:rsidTr="00AE1C31">
        <w:trPr>
          <w:trHeight w:val="324"/>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50ACA4AC"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Le besoin en formation</w:t>
            </w:r>
          </w:p>
        </w:tc>
        <w:tc>
          <w:tcPr>
            <w:tcW w:w="3260" w:type="dxa"/>
            <w:tcBorders>
              <w:top w:val="nil"/>
              <w:left w:val="nil"/>
              <w:bottom w:val="single" w:sz="8" w:space="0" w:color="auto"/>
              <w:right w:val="single" w:sz="8" w:space="0" w:color="auto"/>
            </w:tcBorders>
            <w:shd w:val="clear" w:color="auto" w:fill="auto"/>
            <w:vAlign w:val="center"/>
            <w:hideMark/>
          </w:tcPr>
          <w:p w14:paraId="0A364BB4"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 xml:space="preserve">Besoin élevé </w:t>
            </w:r>
          </w:p>
        </w:tc>
        <w:tc>
          <w:tcPr>
            <w:tcW w:w="1276" w:type="dxa"/>
            <w:tcBorders>
              <w:top w:val="nil"/>
              <w:left w:val="nil"/>
              <w:bottom w:val="single" w:sz="8" w:space="0" w:color="auto"/>
              <w:right w:val="single" w:sz="8" w:space="0" w:color="auto"/>
            </w:tcBorders>
            <w:shd w:val="clear" w:color="auto" w:fill="auto"/>
            <w:vAlign w:val="center"/>
            <w:hideMark/>
          </w:tcPr>
          <w:p w14:paraId="6002FD79"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6.4(2.97)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DC2F6E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0.09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B87D87B"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144</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5588E696"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0.96</w:t>
            </w:r>
          </w:p>
        </w:tc>
      </w:tr>
      <w:tr w:rsidR="00A053D8" w:rsidRPr="00CF48A1" w14:paraId="3ED05F78"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0A0DA46A"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48693F1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 xml:space="preserve">Besoin modéré </w:t>
            </w:r>
          </w:p>
        </w:tc>
        <w:tc>
          <w:tcPr>
            <w:tcW w:w="1276" w:type="dxa"/>
            <w:tcBorders>
              <w:top w:val="nil"/>
              <w:left w:val="nil"/>
              <w:bottom w:val="single" w:sz="8" w:space="0" w:color="auto"/>
              <w:right w:val="single" w:sz="8" w:space="0" w:color="auto"/>
            </w:tcBorders>
            <w:shd w:val="clear" w:color="auto" w:fill="auto"/>
            <w:vAlign w:val="center"/>
            <w:hideMark/>
          </w:tcPr>
          <w:p w14:paraId="08A72396"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6.3(3.22)</w:t>
            </w:r>
          </w:p>
        </w:tc>
        <w:tc>
          <w:tcPr>
            <w:tcW w:w="850" w:type="dxa"/>
            <w:vMerge/>
            <w:tcBorders>
              <w:top w:val="nil"/>
              <w:left w:val="single" w:sz="8" w:space="0" w:color="auto"/>
              <w:bottom w:val="single" w:sz="8" w:space="0" w:color="000000"/>
              <w:right w:val="single" w:sz="8" w:space="0" w:color="auto"/>
            </w:tcBorders>
            <w:vAlign w:val="center"/>
            <w:hideMark/>
          </w:tcPr>
          <w:p w14:paraId="0F0CE904" w14:textId="77777777" w:rsidR="00A053D8" w:rsidRPr="00CF48A1" w:rsidRDefault="00A053D8" w:rsidP="00A053D8">
            <w:pPr>
              <w:rPr>
                <w:rFonts w:eastAsia="Times New Roman"/>
                <w:color w:val="000000"/>
                <w:lang w:eastAsia="fr-FR"/>
              </w:rPr>
            </w:pPr>
          </w:p>
        </w:tc>
        <w:tc>
          <w:tcPr>
            <w:tcW w:w="1134" w:type="dxa"/>
            <w:vMerge/>
            <w:tcBorders>
              <w:top w:val="nil"/>
              <w:left w:val="single" w:sz="8" w:space="0" w:color="auto"/>
              <w:bottom w:val="single" w:sz="8" w:space="0" w:color="000000"/>
              <w:right w:val="single" w:sz="8" w:space="0" w:color="auto"/>
            </w:tcBorders>
            <w:vAlign w:val="center"/>
            <w:hideMark/>
          </w:tcPr>
          <w:p w14:paraId="7D5408C7" w14:textId="77777777" w:rsidR="00A053D8" w:rsidRPr="00CF48A1" w:rsidRDefault="00A053D8" w:rsidP="00A053D8">
            <w:pPr>
              <w:rPr>
                <w:rFonts w:eastAsia="Times New Roman"/>
                <w:color w:val="000000"/>
                <w:lang w:eastAsia="fr-FR"/>
              </w:rPr>
            </w:pPr>
          </w:p>
        </w:tc>
        <w:tc>
          <w:tcPr>
            <w:tcW w:w="943" w:type="dxa"/>
            <w:vMerge/>
            <w:tcBorders>
              <w:top w:val="nil"/>
              <w:left w:val="single" w:sz="8" w:space="0" w:color="auto"/>
              <w:bottom w:val="single" w:sz="8" w:space="0" w:color="000000"/>
              <w:right w:val="single" w:sz="8" w:space="0" w:color="auto"/>
            </w:tcBorders>
            <w:vAlign w:val="center"/>
            <w:hideMark/>
          </w:tcPr>
          <w:p w14:paraId="1BE1C1B1" w14:textId="77777777" w:rsidR="00A053D8" w:rsidRPr="00CF48A1" w:rsidRDefault="00A053D8" w:rsidP="00A053D8">
            <w:pPr>
              <w:rPr>
                <w:rFonts w:eastAsia="Times New Roman"/>
                <w:color w:val="000000"/>
                <w:lang w:eastAsia="fr-FR"/>
              </w:rPr>
            </w:pPr>
          </w:p>
        </w:tc>
      </w:tr>
      <w:tr w:rsidR="00A053D8" w:rsidRPr="00CF48A1" w14:paraId="11690FD0"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5AEB52F6"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10DA9571"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Pas de besoin</w:t>
            </w:r>
          </w:p>
        </w:tc>
        <w:tc>
          <w:tcPr>
            <w:tcW w:w="1276" w:type="dxa"/>
            <w:tcBorders>
              <w:top w:val="nil"/>
              <w:left w:val="nil"/>
              <w:bottom w:val="single" w:sz="8" w:space="0" w:color="auto"/>
              <w:right w:val="single" w:sz="8" w:space="0" w:color="auto"/>
            </w:tcBorders>
            <w:shd w:val="clear" w:color="auto" w:fill="auto"/>
            <w:vAlign w:val="center"/>
            <w:hideMark/>
          </w:tcPr>
          <w:p w14:paraId="2CA3BD02"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6.37(3.14)</w:t>
            </w:r>
          </w:p>
        </w:tc>
        <w:tc>
          <w:tcPr>
            <w:tcW w:w="850" w:type="dxa"/>
            <w:vMerge/>
            <w:tcBorders>
              <w:top w:val="nil"/>
              <w:left w:val="single" w:sz="8" w:space="0" w:color="auto"/>
              <w:bottom w:val="single" w:sz="8" w:space="0" w:color="000000"/>
              <w:right w:val="single" w:sz="8" w:space="0" w:color="auto"/>
            </w:tcBorders>
            <w:vAlign w:val="center"/>
            <w:hideMark/>
          </w:tcPr>
          <w:p w14:paraId="2096CEF8" w14:textId="77777777" w:rsidR="00A053D8" w:rsidRPr="00CF48A1" w:rsidRDefault="00A053D8" w:rsidP="00A053D8">
            <w:pPr>
              <w:rPr>
                <w:rFonts w:eastAsia="Times New Roman"/>
                <w:color w:val="000000"/>
                <w:lang w:eastAsia="fr-FR"/>
              </w:rPr>
            </w:pPr>
          </w:p>
        </w:tc>
        <w:tc>
          <w:tcPr>
            <w:tcW w:w="1134" w:type="dxa"/>
            <w:vMerge/>
            <w:tcBorders>
              <w:top w:val="nil"/>
              <w:left w:val="single" w:sz="8" w:space="0" w:color="auto"/>
              <w:bottom w:val="single" w:sz="8" w:space="0" w:color="000000"/>
              <w:right w:val="single" w:sz="8" w:space="0" w:color="auto"/>
            </w:tcBorders>
            <w:vAlign w:val="center"/>
            <w:hideMark/>
          </w:tcPr>
          <w:p w14:paraId="548EC062" w14:textId="77777777" w:rsidR="00A053D8" w:rsidRPr="00CF48A1" w:rsidRDefault="00A053D8" w:rsidP="00A053D8">
            <w:pPr>
              <w:rPr>
                <w:rFonts w:eastAsia="Times New Roman"/>
                <w:color w:val="000000"/>
                <w:lang w:eastAsia="fr-FR"/>
              </w:rPr>
            </w:pPr>
          </w:p>
        </w:tc>
        <w:tc>
          <w:tcPr>
            <w:tcW w:w="943" w:type="dxa"/>
            <w:vMerge/>
            <w:tcBorders>
              <w:top w:val="nil"/>
              <w:left w:val="single" w:sz="8" w:space="0" w:color="auto"/>
              <w:bottom w:val="single" w:sz="8" w:space="0" w:color="000000"/>
              <w:right w:val="single" w:sz="8" w:space="0" w:color="auto"/>
            </w:tcBorders>
            <w:vAlign w:val="center"/>
            <w:hideMark/>
          </w:tcPr>
          <w:p w14:paraId="0377439A" w14:textId="77777777" w:rsidR="00A053D8" w:rsidRPr="00CF48A1" w:rsidRDefault="00A053D8" w:rsidP="00A053D8">
            <w:pPr>
              <w:rPr>
                <w:rFonts w:eastAsia="Times New Roman"/>
                <w:color w:val="000000"/>
                <w:lang w:eastAsia="fr-FR"/>
              </w:rPr>
            </w:pPr>
          </w:p>
        </w:tc>
      </w:tr>
      <w:tr w:rsidR="00A053D8" w:rsidRPr="00CF48A1" w14:paraId="7E95025A" w14:textId="77777777" w:rsidTr="00AE1C31">
        <w:trPr>
          <w:trHeight w:val="636"/>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906021"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Les sources des informations</w:t>
            </w:r>
          </w:p>
        </w:tc>
        <w:tc>
          <w:tcPr>
            <w:tcW w:w="3260" w:type="dxa"/>
            <w:tcBorders>
              <w:top w:val="nil"/>
              <w:left w:val="nil"/>
              <w:bottom w:val="single" w:sz="8" w:space="0" w:color="auto"/>
              <w:right w:val="single" w:sz="8" w:space="0" w:color="auto"/>
            </w:tcBorders>
            <w:shd w:val="clear" w:color="auto" w:fill="auto"/>
            <w:vAlign w:val="center"/>
            <w:hideMark/>
          </w:tcPr>
          <w:p w14:paraId="6BC482F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Les sites web médicaux et pharmaceutiques</w:t>
            </w:r>
          </w:p>
        </w:tc>
        <w:tc>
          <w:tcPr>
            <w:tcW w:w="1276" w:type="dxa"/>
            <w:tcBorders>
              <w:top w:val="nil"/>
              <w:left w:val="nil"/>
              <w:bottom w:val="single" w:sz="8" w:space="0" w:color="auto"/>
              <w:right w:val="single" w:sz="8" w:space="0" w:color="auto"/>
            </w:tcBorders>
            <w:shd w:val="clear" w:color="auto" w:fill="auto"/>
            <w:vAlign w:val="center"/>
            <w:hideMark/>
          </w:tcPr>
          <w:p w14:paraId="6CE21C2B"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6.01(3.05)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395F8BFE"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4.92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18A582E"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144</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5365AC6F"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0.002</w:t>
            </w:r>
          </w:p>
        </w:tc>
      </w:tr>
      <w:tr w:rsidR="00A053D8" w:rsidRPr="00CF48A1" w14:paraId="63244C18" w14:textId="77777777" w:rsidTr="00AE1C31">
        <w:trPr>
          <w:trHeight w:val="324"/>
        </w:trPr>
        <w:tc>
          <w:tcPr>
            <w:tcW w:w="2117" w:type="dxa"/>
            <w:vMerge/>
            <w:tcBorders>
              <w:top w:val="nil"/>
              <w:left w:val="single" w:sz="8" w:space="0" w:color="auto"/>
              <w:bottom w:val="single" w:sz="8" w:space="0" w:color="000000"/>
              <w:right w:val="single" w:sz="8" w:space="0" w:color="auto"/>
            </w:tcBorders>
            <w:vAlign w:val="center"/>
            <w:hideMark/>
          </w:tcPr>
          <w:p w14:paraId="35882358"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42C0A921"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Les revues médicales</w:t>
            </w:r>
          </w:p>
        </w:tc>
        <w:tc>
          <w:tcPr>
            <w:tcW w:w="1276" w:type="dxa"/>
            <w:tcBorders>
              <w:top w:val="nil"/>
              <w:left w:val="nil"/>
              <w:bottom w:val="single" w:sz="8" w:space="0" w:color="auto"/>
              <w:right w:val="single" w:sz="8" w:space="0" w:color="auto"/>
            </w:tcBorders>
            <w:shd w:val="clear" w:color="auto" w:fill="auto"/>
            <w:vAlign w:val="center"/>
            <w:hideMark/>
          </w:tcPr>
          <w:p w14:paraId="74253FBC"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6.88(2.99)</w:t>
            </w:r>
          </w:p>
        </w:tc>
        <w:tc>
          <w:tcPr>
            <w:tcW w:w="850" w:type="dxa"/>
            <w:vMerge/>
            <w:tcBorders>
              <w:top w:val="nil"/>
              <w:left w:val="single" w:sz="8" w:space="0" w:color="auto"/>
              <w:bottom w:val="single" w:sz="8" w:space="0" w:color="000000"/>
              <w:right w:val="single" w:sz="8" w:space="0" w:color="auto"/>
            </w:tcBorders>
            <w:vAlign w:val="center"/>
            <w:hideMark/>
          </w:tcPr>
          <w:p w14:paraId="540B0CF3" w14:textId="77777777" w:rsidR="00A053D8" w:rsidRPr="00CF48A1" w:rsidRDefault="00A053D8" w:rsidP="00A053D8">
            <w:pPr>
              <w:rPr>
                <w:rFonts w:eastAsia="Times New Roman"/>
                <w:color w:val="000000"/>
                <w:lang w:eastAsia="fr-FR"/>
              </w:rPr>
            </w:pPr>
          </w:p>
        </w:tc>
        <w:tc>
          <w:tcPr>
            <w:tcW w:w="1134" w:type="dxa"/>
            <w:vMerge/>
            <w:tcBorders>
              <w:top w:val="nil"/>
              <w:left w:val="single" w:sz="8" w:space="0" w:color="auto"/>
              <w:bottom w:val="single" w:sz="8" w:space="0" w:color="000000"/>
              <w:right w:val="single" w:sz="8" w:space="0" w:color="auto"/>
            </w:tcBorders>
            <w:vAlign w:val="center"/>
            <w:hideMark/>
          </w:tcPr>
          <w:p w14:paraId="46FCB7A5" w14:textId="77777777" w:rsidR="00A053D8" w:rsidRPr="00CF48A1" w:rsidRDefault="00A053D8" w:rsidP="00A053D8">
            <w:pPr>
              <w:rPr>
                <w:rFonts w:eastAsia="Times New Roman"/>
                <w:color w:val="000000"/>
                <w:lang w:eastAsia="fr-FR"/>
              </w:rPr>
            </w:pPr>
          </w:p>
        </w:tc>
        <w:tc>
          <w:tcPr>
            <w:tcW w:w="943" w:type="dxa"/>
            <w:vMerge/>
            <w:tcBorders>
              <w:top w:val="nil"/>
              <w:left w:val="single" w:sz="8" w:space="0" w:color="auto"/>
              <w:bottom w:val="single" w:sz="8" w:space="0" w:color="000000"/>
              <w:right w:val="single" w:sz="8" w:space="0" w:color="auto"/>
            </w:tcBorders>
            <w:vAlign w:val="center"/>
            <w:hideMark/>
          </w:tcPr>
          <w:p w14:paraId="681E07F6" w14:textId="77777777" w:rsidR="00A053D8" w:rsidRPr="00CF48A1" w:rsidRDefault="00A053D8" w:rsidP="00A053D8">
            <w:pPr>
              <w:rPr>
                <w:rFonts w:eastAsia="Times New Roman"/>
                <w:color w:val="000000"/>
                <w:lang w:eastAsia="fr-FR"/>
              </w:rPr>
            </w:pPr>
          </w:p>
        </w:tc>
      </w:tr>
      <w:tr w:rsidR="00A053D8" w:rsidRPr="00CF48A1" w14:paraId="6C742EB9" w14:textId="77777777" w:rsidTr="00AE1C31">
        <w:trPr>
          <w:trHeight w:val="636"/>
        </w:trPr>
        <w:tc>
          <w:tcPr>
            <w:tcW w:w="2117" w:type="dxa"/>
            <w:vMerge/>
            <w:tcBorders>
              <w:top w:val="nil"/>
              <w:left w:val="single" w:sz="8" w:space="0" w:color="auto"/>
              <w:bottom w:val="single" w:sz="8" w:space="0" w:color="000000"/>
              <w:right w:val="single" w:sz="8" w:space="0" w:color="auto"/>
            </w:tcBorders>
            <w:vAlign w:val="center"/>
            <w:hideMark/>
          </w:tcPr>
          <w:p w14:paraId="02882BDC"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3D07430E"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Les délégués pharmaceutiques</w:t>
            </w:r>
          </w:p>
        </w:tc>
        <w:tc>
          <w:tcPr>
            <w:tcW w:w="1276" w:type="dxa"/>
            <w:tcBorders>
              <w:top w:val="nil"/>
              <w:left w:val="nil"/>
              <w:bottom w:val="single" w:sz="8" w:space="0" w:color="auto"/>
              <w:right w:val="single" w:sz="8" w:space="0" w:color="auto"/>
            </w:tcBorders>
            <w:shd w:val="clear" w:color="auto" w:fill="auto"/>
            <w:vAlign w:val="center"/>
            <w:hideMark/>
          </w:tcPr>
          <w:p w14:paraId="5AA44967"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5.51 (2.96)</w:t>
            </w:r>
          </w:p>
        </w:tc>
        <w:tc>
          <w:tcPr>
            <w:tcW w:w="850" w:type="dxa"/>
            <w:vMerge/>
            <w:tcBorders>
              <w:top w:val="nil"/>
              <w:left w:val="single" w:sz="8" w:space="0" w:color="auto"/>
              <w:bottom w:val="single" w:sz="8" w:space="0" w:color="000000"/>
              <w:right w:val="single" w:sz="8" w:space="0" w:color="auto"/>
            </w:tcBorders>
            <w:vAlign w:val="center"/>
            <w:hideMark/>
          </w:tcPr>
          <w:p w14:paraId="6BA0D2AD" w14:textId="77777777" w:rsidR="00A053D8" w:rsidRPr="00CF48A1" w:rsidRDefault="00A053D8" w:rsidP="00A053D8">
            <w:pPr>
              <w:rPr>
                <w:rFonts w:eastAsia="Times New Roman"/>
                <w:color w:val="000000"/>
                <w:lang w:eastAsia="fr-FR"/>
              </w:rPr>
            </w:pPr>
          </w:p>
        </w:tc>
        <w:tc>
          <w:tcPr>
            <w:tcW w:w="1134" w:type="dxa"/>
            <w:vMerge/>
            <w:tcBorders>
              <w:top w:val="nil"/>
              <w:left w:val="single" w:sz="8" w:space="0" w:color="auto"/>
              <w:bottom w:val="single" w:sz="8" w:space="0" w:color="000000"/>
              <w:right w:val="single" w:sz="8" w:space="0" w:color="auto"/>
            </w:tcBorders>
            <w:vAlign w:val="center"/>
            <w:hideMark/>
          </w:tcPr>
          <w:p w14:paraId="13BF2405" w14:textId="77777777" w:rsidR="00A053D8" w:rsidRPr="00CF48A1" w:rsidRDefault="00A053D8" w:rsidP="00A053D8">
            <w:pPr>
              <w:rPr>
                <w:rFonts w:eastAsia="Times New Roman"/>
                <w:color w:val="000000"/>
                <w:lang w:eastAsia="fr-FR"/>
              </w:rPr>
            </w:pPr>
          </w:p>
        </w:tc>
        <w:tc>
          <w:tcPr>
            <w:tcW w:w="943" w:type="dxa"/>
            <w:vMerge/>
            <w:tcBorders>
              <w:top w:val="nil"/>
              <w:left w:val="single" w:sz="8" w:space="0" w:color="auto"/>
              <w:bottom w:val="single" w:sz="8" w:space="0" w:color="000000"/>
              <w:right w:val="single" w:sz="8" w:space="0" w:color="auto"/>
            </w:tcBorders>
            <w:vAlign w:val="center"/>
            <w:hideMark/>
          </w:tcPr>
          <w:p w14:paraId="26D5A052" w14:textId="77777777" w:rsidR="00A053D8" w:rsidRPr="00CF48A1" w:rsidRDefault="00A053D8" w:rsidP="00A053D8">
            <w:pPr>
              <w:rPr>
                <w:rFonts w:eastAsia="Times New Roman"/>
                <w:color w:val="000000"/>
                <w:lang w:eastAsia="fr-FR"/>
              </w:rPr>
            </w:pPr>
          </w:p>
        </w:tc>
      </w:tr>
      <w:tr w:rsidR="00A053D8" w:rsidRPr="00CF48A1" w14:paraId="226F9FDE" w14:textId="77777777" w:rsidTr="00AE1C31">
        <w:trPr>
          <w:trHeight w:val="636"/>
        </w:trPr>
        <w:tc>
          <w:tcPr>
            <w:tcW w:w="2117" w:type="dxa"/>
            <w:vMerge/>
            <w:tcBorders>
              <w:top w:val="nil"/>
              <w:left w:val="single" w:sz="8" w:space="0" w:color="auto"/>
              <w:bottom w:val="single" w:sz="8" w:space="0" w:color="000000"/>
              <w:right w:val="single" w:sz="8" w:space="0" w:color="auto"/>
            </w:tcBorders>
            <w:vAlign w:val="center"/>
            <w:hideMark/>
          </w:tcPr>
          <w:p w14:paraId="40314D3E" w14:textId="77777777" w:rsidR="00A053D8" w:rsidRPr="00CF48A1" w:rsidRDefault="00A053D8" w:rsidP="00A053D8">
            <w:pPr>
              <w:rPr>
                <w:rFonts w:eastAsia="Times New Roman"/>
                <w:color w:val="000000"/>
                <w:lang w:eastAsia="fr-FR"/>
              </w:rPr>
            </w:pPr>
          </w:p>
        </w:tc>
        <w:tc>
          <w:tcPr>
            <w:tcW w:w="3260" w:type="dxa"/>
            <w:tcBorders>
              <w:top w:val="nil"/>
              <w:left w:val="nil"/>
              <w:bottom w:val="single" w:sz="8" w:space="0" w:color="auto"/>
              <w:right w:val="single" w:sz="8" w:space="0" w:color="auto"/>
            </w:tcBorders>
            <w:shd w:val="clear" w:color="auto" w:fill="auto"/>
            <w:vAlign w:val="center"/>
            <w:hideMark/>
          </w:tcPr>
          <w:p w14:paraId="3E6D1BDD"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Des formations universitaires payantes</w:t>
            </w:r>
          </w:p>
        </w:tc>
        <w:tc>
          <w:tcPr>
            <w:tcW w:w="1276" w:type="dxa"/>
            <w:tcBorders>
              <w:top w:val="nil"/>
              <w:left w:val="nil"/>
              <w:bottom w:val="single" w:sz="8" w:space="0" w:color="auto"/>
              <w:right w:val="single" w:sz="8" w:space="0" w:color="auto"/>
            </w:tcBorders>
            <w:shd w:val="clear" w:color="auto" w:fill="auto"/>
            <w:vAlign w:val="center"/>
            <w:hideMark/>
          </w:tcPr>
          <w:p w14:paraId="7AD2CD0A" w14:textId="77777777" w:rsidR="00A053D8" w:rsidRPr="00CF48A1" w:rsidRDefault="00A053D8" w:rsidP="00A053D8">
            <w:pPr>
              <w:jc w:val="center"/>
              <w:rPr>
                <w:rFonts w:eastAsia="Times New Roman"/>
                <w:color w:val="000000"/>
                <w:lang w:eastAsia="fr-FR"/>
              </w:rPr>
            </w:pPr>
            <w:r w:rsidRPr="00CF48A1">
              <w:rPr>
                <w:rFonts w:eastAsia="Times New Roman"/>
                <w:color w:val="000000"/>
                <w:lang w:eastAsia="fr-FR"/>
              </w:rPr>
              <w:t>6.02(3.13)</w:t>
            </w:r>
          </w:p>
        </w:tc>
        <w:tc>
          <w:tcPr>
            <w:tcW w:w="850" w:type="dxa"/>
            <w:vMerge/>
            <w:tcBorders>
              <w:top w:val="nil"/>
              <w:left w:val="single" w:sz="8" w:space="0" w:color="auto"/>
              <w:bottom w:val="single" w:sz="8" w:space="0" w:color="000000"/>
              <w:right w:val="single" w:sz="8" w:space="0" w:color="auto"/>
            </w:tcBorders>
            <w:vAlign w:val="center"/>
            <w:hideMark/>
          </w:tcPr>
          <w:p w14:paraId="0410FE16" w14:textId="77777777" w:rsidR="00A053D8" w:rsidRPr="00CF48A1" w:rsidRDefault="00A053D8" w:rsidP="00A053D8">
            <w:pPr>
              <w:rPr>
                <w:rFonts w:eastAsia="Times New Roman"/>
                <w:color w:val="000000"/>
                <w:lang w:eastAsia="fr-FR"/>
              </w:rPr>
            </w:pPr>
          </w:p>
        </w:tc>
        <w:tc>
          <w:tcPr>
            <w:tcW w:w="1134" w:type="dxa"/>
            <w:vMerge/>
            <w:tcBorders>
              <w:top w:val="nil"/>
              <w:left w:val="single" w:sz="8" w:space="0" w:color="auto"/>
              <w:bottom w:val="single" w:sz="8" w:space="0" w:color="000000"/>
              <w:right w:val="single" w:sz="8" w:space="0" w:color="auto"/>
            </w:tcBorders>
            <w:vAlign w:val="center"/>
            <w:hideMark/>
          </w:tcPr>
          <w:p w14:paraId="1AF03270" w14:textId="77777777" w:rsidR="00A053D8" w:rsidRPr="00CF48A1" w:rsidRDefault="00A053D8" w:rsidP="00A053D8">
            <w:pPr>
              <w:rPr>
                <w:rFonts w:eastAsia="Times New Roman"/>
                <w:color w:val="000000"/>
                <w:lang w:eastAsia="fr-FR"/>
              </w:rPr>
            </w:pPr>
          </w:p>
        </w:tc>
        <w:tc>
          <w:tcPr>
            <w:tcW w:w="943" w:type="dxa"/>
            <w:vMerge/>
            <w:tcBorders>
              <w:top w:val="nil"/>
              <w:left w:val="single" w:sz="8" w:space="0" w:color="auto"/>
              <w:bottom w:val="single" w:sz="8" w:space="0" w:color="000000"/>
              <w:right w:val="single" w:sz="8" w:space="0" w:color="auto"/>
            </w:tcBorders>
            <w:vAlign w:val="center"/>
            <w:hideMark/>
          </w:tcPr>
          <w:p w14:paraId="0BCBBF1E" w14:textId="77777777" w:rsidR="00A053D8" w:rsidRPr="00CF48A1" w:rsidRDefault="00A053D8" w:rsidP="00A053D8">
            <w:pPr>
              <w:rPr>
                <w:rFonts w:eastAsia="Times New Roman"/>
                <w:color w:val="000000"/>
                <w:lang w:eastAsia="fr-FR"/>
              </w:rPr>
            </w:pPr>
          </w:p>
        </w:tc>
      </w:tr>
    </w:tbl>
    <w:p w14:paraId="67C3C4C4" w14:textId="77777777" w:rsidR="00A053D8" w:rsidRPr="00CF48A1" w:rsidRDefault="00A053D8" w:rsidP="00F62287">
      <w:pPr>
        <w:spacing w:line="360" w:lineRule="auto"/>
        <w:jc w:val="both"/>
      </w:pPr>
    </w:p>
    <w:p w14:paraId="7D2C8F2B" w14:textId="77777777" w:rsidR="00A053D8" w:rsidRPr="00CF48A1" w:rsidRDefault="00A053D8" w:rsidP="00F62287">
      <w:pPr>
        <w:spacing w:line="360" w:lineRule="auto"/>
        <w:jc w:val="both"/>
      </w:pPr>
    </w:p>
    <w:p w14:paraId="7956AC8B" w14:textId="1CCA26FA" w:rsidR="005D7B14" w:rsidRPr="00CF48A1" w:rsidRDefault="00AE1C31" w:rsidP="00F62287">
      <w:pPr>
        <w:spacing w:line="360" w:lineRule="auto"/>
        <w:jc w:val="both"/>
      </w:pPr>
      <w:r w:rsidRPr="00CF48A1">
        <w:t>-</w:t>
      </w:r>
      <w:r w:rsidR="00771215" w:rsidRPr="00CF48A1">
        <w:t>Pour les</w:t>
      </w:r>
      <w:r w:rsidRPr="00CF48A1">
        <w:t xml:space="preserve"> facteur</w:t>
      </w:r>
      <w:r w:rsidR="00771215" w:rsidRPr="00CF48A1">
        <w:t>s</w:t>
      </w:r>
      <w:r w:rsidRPr="00CF48A1">
        <w:t xml:space="preserve"> « </w:t>
      </w:r>
      <w:r w:rsidR="00A053D8" w:rsidRPr="00CF48A1">
        <w:t>expérience professionnelle</w:t>
      </w:r>
      <w:r w:rsidRPr="00CF48A1">
        <w:t> »</w:t>
      </w:r>
      <w:r w:rsidR="00771215" w:rsidRPr="00CF48A1">
        <w:t>, « perceptions à propos les inhibiteurs SGLT2 »,</w:t>
      </w:r>
      <w:r w:rsidR="000D004D" w:rsidRPr="00CF48A1">
        <w:t xml:space="preserve"> « les</w:t>
      </w:r>
      <w:r w:rsidR="00771215" w:rsidRPr="00CF48A1">
        <w:t xml:space="preserve"> retours des patients concernant les inhibiteurs SGLT2 », « les obstacles de dispensation </w:t>
      </w:r>
      <w:r w:rsidR="000D004D" w:rsidRPr="00CF48A1">
        <w:t>»,</w:t>
      </w:r>
      <w:r w:rsidR="00E473DB" w:rsidRPr="00CF48A1">
        <w:t xml:space="preserve"> « le besoin en formation </w:t>
      </w:r>
      <w:r w:rsidR="000D004D" w:rsidRPr="00CF48A1">
        <w:t>» :</w:t>
      </w:r>
      <w:r w:rsidRPr="00CF48A1">
        <w:t>l</w:t>
      </w:r>
      <w:r w:rsidR="002C3267" w:rsidRPr="00CF48A1">
        <w:t xml:space="preserve">a valeur p est supérieure à 0.05, et par conséquent </w:t>
      </w:r>
      <w:r w:rsidR="00771215" w:rsidRPr="00CF48A1">
        <w:t xml:space="preserve">ce facteurs </w:t>
      </w:r>
      <w:r w:rsidR="002C3267" w:rsidRPr="00CF48A1">
        <w:t>n’affecte</w:t>
      </w:r>
      <w:r w:rsidR="00771215" w:rsidRPr="00CF48A1">
        <w:t>nt</w:t>
      </w:r>
      <w:r w:rsidR="002C3267" w:rsidRPr="00CF48A1">
        <w:t xml:space="preserve"> pas le score de connaissance des pharmaciens</w:t>
      </w:r>
    </w:p>
    <w:p w14:paraId="5B0761BD" w14:textId="77777777" w:rsidR="00290C04" w:rsidRPr="00CF48A1" w:rsidRDefault="00290C04" w:rsidP="009A5599">
      <w:pPr>
        <w:jc w:val="both"/>
      </w:pPr>
    </w:p>
    <w:p w14:paraId="18DC4BFF" w14:textId="115F0484" w:rsidR="00313512" w:rsidRPr="00CF48A1" w:rsidRDefault="00A053D8" w:rsidP="00E473DB">
      <w:pPr>
        <w:spacing w:line="360" w:lineRule="auto"/>
      </w:pPr>
      <w:r w:rsidRPr="00CF48A1">
        <w:t>-</w:t>
      </w:r>
      <w:r w:rsidR="00771215" w:rsidRPr="00CF48A1">
        <w:t>Le facteur « </w:t>
      </w:r>
      <w:r w:rsidRPr="00CF48A1">
        <w:t>le niveau d’auto-évaluation des connaissances à propos les inhibiteurs SGLT2</w:t>
      </w:r>
      <w:r w:rsidR="00771215" w:rsidRPr="00CF48A1">
        <w:t> </w:t>
      </w:r>
      <w:r w:rsidR="000D004D" w:rsidRPr="00CF48A1">
        <w:t>» :</w:t>
      </w:r>
      <w:r w:rsidR="00980379" w:rsidRPr="00CF48A1">
        <w:t xml:space="preserve"> </w:t>
      </w:r>
      <w:r w:rsidR="00771215" w:rsidRPr="00CF48A1">
        <w:t>l</w:t>
      </w:r>
      <w:r w:rsidR="005A36D4" w:rsidRPr="00CF48A1">
        <w:t>a valeur p est inferieure 0.05, et par conséquent le niveau auto-évaluation des connaissances affecte</w:t>
      </w:r>
      <w:r w:rsidR="00E473DB" w:rsidRPr="00CF48A1">
        <w:t xml:space="preserve"> </w:t>
      </w:r>
      <w:r w:rsidR="005A36D4" w:rsidRPr="00CF48A1">
        <w:t xml:space="preserve">le score de connaissance des </w:t>
      </w:r>
      <w:r w:rsidR="00E473DB" w:rsidRPr="00CF48A1">
        <w:t>pharmaciens. Donc u</w:t>
      </w:r>
      <w:r w:rsidR="005A36D4" w:rsidRPr="00CF48A1">
        <w:t xml:space="preserve">n test post hoc par méthode de </w:t>
      </w:r>
      <w:proofErr w:type="spellStart"/>
      <w:r w:rsidR="00FE7F38" w:rsidRPr="00CF48A1">
        <w:t>Scheffé</w:t>
      </w:r>
      <w:proofErr w:type="spellEnd"/>
      <w:r w:rsidR="005A36D4" w:rsidRPr="00CF48A1">
        <w:t xml:space="preserve"> a été réalisée, et il a montré qu’il y a une différence significative entre le groupe qui considère </w:t>
      </w:r>
      <w:r w:rsidR="000D004D" w:rsidRPr="00CF48A1">
        <w:t>leur connaissance</w:t>
      </w:r>
      <w:r w:rsidR="005A36D4" w:rsidRPr="00CF48A1">
        <w:t xml:space="preserve"> est excellente et </w:t>
      </w:r>
      <w:r w:rsidR="00E473DB" w:rsidRPr="00CF48A1">
        <w:t>celui</w:t>
      </w:r>
      <w:r w:rsidR="005A36D4" w:rsidRPr="00CF48A1">
        <w:t xml:space="preserve"> qui considère leur connaissance est fai</w:t>
      </w:r>
      <w:r w:rsidR="00FE7F38" w:rsidRPr="00CF48A1">
        <w:t xml:space="preserve">ble (p=0.002 par test de </w:t>
      </w:r>
      <w:proofErr w:type="spellStart"/>
      <w:r w:rsidR="00FE7F38" w:rsidRPr="00CF48A1">
        <w:t>scheffé</w:t>
      </w:r>
      <w:proofErr w:type="spellEnd"/>
      <w:r w:rsidR="005A36D4" w:rsidRPr="00CF48A1">
        <w:t xml:space="preserve">). Cependant aucune différence significative n’a été détectable avec les autres groupes (p=0.089, p=0.73, respectivement). </w:t>
      </w:r>
    </w:p>
    <w:p w14:paraId="54A1155E" w14:textId="07A52F1F" w:rsidR="00290C04" w:rsidRPr="00CF48A1" w:rsidRDefault="005A36D4" w:rsidP="00E473DB">
      <w:pPr>
        <w:spacing w:line="360" w:lineRule="auto"/>
        <w:jc w:val="both"/>
      </w:pPr>
      <w:r w:rsidRPr="00CF48A1">
        <w:t xml:space="preserve">On peut </w:t>
      </w:r>
      <w:r w:rsidR="00E473DB" w:rsidRPr="00CF48A1">
        <w:t xml:space="preserve">donc </w:t>
      </w:r>
      <w:r w:rsidRPr="00CF48A1">
        <w:t>conclure que les pharmaciens ayant jugé leurs connaissances comme excellentes ont des scores de connaissance plus élevés que ceux qui estimaient avoir des connaissances faibles.</w:t>
      </w:r>
    </w:p>
    <w:p w14:paraId="7C9F3EB1" w14:textId="77777777" w:rsidR="003A4EA1" w:rsidRPr="00CF48A1" w:rsidRDefault="003A4EA1" w:rsidP="009A5599">
      <w:pPr>
        <w:jc w:val="both"/>
      </w:pPr>
    </w:p>
    <w:p w14:paraId="5D4CD0EC" w14:textId="614D791B" w:rsidR="00771215" w:rsidRPr="00CF48A1" w:rsidRDefault="00771215" w:rsidP="00E473DB">
      <w:pPr>
        <w:spacing w:line="360" w:lineRule="auto"/>
      </w:pPr>
      <w:r w:rsidRPr="00CF48A1">
        <w:t>-Le facteur « </w:t>
      </w:r>
      <w:r w:rsidR="00A053D8" w:rsidRPr="00CF48A1">
        <w:t xml:space="preserve"> </w:t>
      </w:r>
      <w:r w:rsidR="005A36D4" w:rsidRPr="00CF48A1">
        <w:t>les sources des informations concernant les inhibiteurs SGLT2</w:t>
      </w:r>
      <w:r w:rsidRPr="00CF48A1">
        <w:t> »</w:t>
      </w:r>
      <w:r w:rsidR="00E473DB" w:rsidRPr="00CF48A1">
        <w:t> :</w:t>
      </w:r>
      <w:r w:rsidR="00A053D8" w:rsidRPr="00CF48A1">
        <w:t xml:space="preserve"> </w:t>
      </w:r>
      <w:r w:rsidRPr="00CF48A1">
        <w:t>l</w:t>
      </w:r>
      <w:r w:rsidR="0091431F" w:rsidRPr="00CF48A1">
        <w:t xml:space="preserve">a valeur p est inferieure 0.05, et par conséquent les sources des informations concernant les inhibiteurs SGLT2 affectent </w:t>
      </w:r>
      <w:r w:rsidR="00E473DB" w:rsidRPr="00CF48A1">
        <w:t>s</w:t>
      </w:r>
      <w:r w:rsidR="0091431F" w:rsidRPr="00CF48A1">
        <w:t>ignificativement le score de connaissance des pharmaciens</w:t>
      </w:r>
      <w:r w:rsidR="00313512" w:rsidRPr="00CF48A1">
        <w:t> ;</w:t>
      </w:r>
      <w:r w:rsidR="0091431F" w:rsidRPr="00CF48A1">
        <w:t xml:space="preserve">Un test c par méthode de </w:t>
      </w:r>
      <w:proofErr w:type="spellStart"/>
      <w:r w:rsidR="0091431F" w:rsidRPr="00CF48A1">
        <w:t>scheff</w:t>
      </w:r>
      <w:r w:rsidR="00FE7F38" w:rsidRPr="00CF48A1">
        <w:t>é</w:t>
      </w:r>
      <w:proofErr w:type="spellEnd"/>
      <w:r w:rsidR="00FE7F38" w:rsidRPr="00CF48A1">
        <w:t xml:space="preserve"> </w:t>
      </w:r>
      <w:r w:rsidR="0091431F" w:rsidRPr="00CF48A1">
        <w:t>a été réalisée, et il a montré qu’il y a une différence significative entre les deux groupes « sites web médicaux et pharmaceutique » « Revues médicales » et le groupe</w:t>
      </w:r>
      <w:r w:rsidR="00E473DB" w:rsidRPr="00CF48A1">
        <w:t xml:space="preserve">    </w:t>
      </w:r>
      <w:r w:rsidR="0091431F" w:rsidRPr="00CF48A1">
        <w:t xml:space="preserve"> « les délégués pharmaceutiques » (p=0.0019 et p=0.003 respectivement p</w:t>
      </w:r>
      <w:r w:rsidR="00FE7F38" w:rsidRPr="00CF48A1">
        <w:t xml:space="preserve">ar test de </w:t>
      </w:r>
      <w:proofErr w:type="spellStart"/>
      <w:r w:rsidR="00FE7F38" w:rsidRPr="00CF48A1">
        <w:t>scheffé</w:t>
      </w:r>
      <w:proofErr w:type="spellEnd"/>
      <w:r w:rsidR="0091431F" w:rsidRPr="00CF48A1">
        <w:t xml:space="preserve"> ) </w:t>
      </w:r>
    </w:p>
    <w:p w14:paraId="66C1C915" w14:textId="36C8E206" w:rsidR="00A053D8" w:rsidRPr="00CF48A1" w:rsidRDefault="0091431F" w:rsidP="00D35C36">
      <w:pPr>
        <w:spacing w:line="360" w:lineRule="auto"/>
        <w:jc w:val="both"/>
      </w:pPr>
      <w:r w:rsidRPr="00CF48A1">
        <w:t>On peut déduire que les pharmaciens qui s'appuient sur des informations provenant de sites (médicaux et pharmaceutique) et de revues médicales ont des meilleures connaissances par rapport à ceux qui dépendent des informations fournies par les délégués pharmaceutiques.</w:t>
      </w:r>
    </w:p>
    <w:p w14:paraId="0A425401" w14:textId="77777777" w:rsidR="00A053D8" w:rsidRPr="00CF48A1" w:rsidRDefault="00A053D8" w:rsidP="009A5599">
      <w:pPr>
        <w:jc w:val="both"/>
      </w:pPr>
    </w:p>
    <w:p w14:paraId="5539F643" w14:textId="62D78D51" w:rsidR="0060257F" w:rsidRPr="00CF48A1" w:rsidRDefault="00940DA5" w:rsidP="00940DA5">
      <w:pPr>
        <w:pStyle w:val="Paragraphedeliste"/>
        <w:numPr>
          <w:ilvl w:val="0"/>
          <w:numId w:val="10"/>
        </w:numPr>
        <w:jc w:val="both"/>
        <w:rPr>
          <w:b/>
          <w:bCs/>
        </w:rPr>
      </w:pPr>
      <w:r w:rsidRPr="00CF48A1">
        <w:rPr>
          <w:b/>
          <w:bCs/>
        </w:rPr>
        <w:t xml:space="preserve">DISCUSSION </w:t>
      </w:r>
    </w:p>
    <w:p w14:paraId="2BA95477" w14:textId="77777777" w:rsidR="0060257F" w:rsidRPr="00CF48A1" w:rsidRDefault="0060257F" w:rsidP="009A5599">
      <w:pPr>
        <w:jc w:val="both"/>
      </w:pPr>
    </w:p>
    <w:p w14:paraId="1A1A10D4" w14:textId="47411CF8" w:rsidR="0060257F" w:rsidRPr="00CF48A1" w:rsidRDefault="0091431F" w:rsidP="008F6AC3">
      <w:pPr>
        <w:spacing w:line="360" w:lineRule="auto"/>
        <w:jc w:val="both"/>
      </w:pPr>
      <w:r w:rsidRPr="00CF48A1">
        <w:t xml:space="preserve">Cette étude a examiné le niveau de connaissances, les perceptions et les pratiques des pharmaciens de la préfecture de </w:t>
      </w:r>
      <w:r w:rsidR="00D35C36" w:rsidRPr="00CF48A1">
        <w:t>R</w:t>
      </w:r>
      <w:r w:rsidRPr="00CF48A1">
        <w:t xml:space="preserve">abat vis-à-vis </w:t>
      </w:r>
      <w:r w:rsidR="0060257F" w:rsidRPr="00CF48A1">
        <w:t>d</w:t>
      </w:r>
      <w:r w:rsidRPr="00CF48A1">
        <w:t xml:space="preserve">es inhibiteurs de SGLT2 ou </w:t>
      </w:r>
      <w:proofErr w:type="spellStart"/>
      <w:r w:rsidRPr="00CF48A1">
        <w:t>gliflozines</w:t>
      </w:r>
      <w:proofErr w:type="spellEnd"/>
      <w:r w:rsidRPr="00CF48A1">
        <w:t xml:space="preserve">. </w:t>
      </w:r>
    </w:p>
    <w:p w14:paraId="4063C6C3" w14:textId="61B04C79" w:rsidR="00E215EC" w:rsidRPr="00CF48A1" w:rsidRDefault="0091431F" w:rsidP="008F6AC3">
      <w:pPr>
        <w:spacing w:line="360" w:lineRule="auto"/>
        <w:jc w:val="both"/>
      </w:pPr>
      <w:r w:rsidRPr="00CF48A1">
        <w:t xml:space="preserve">Elle a exploré également les principaux facteurs démographiques et professionnels susceptibles d'avoir un impact sur leur niveau de connaissances. </w:t>
      </w:r>
    </w:p>
    <w:p w14:paraId="2A2F9E6B" w14:textId="7CECAC4A" w:rsidR="00397031" w:rsidRPr="00CF48A1" w:rsidRDefault="00313512" w:rsidP="008F6AC3">
      <w:pPr>
        <w:spacing w:line="360" w:lineRule="auto"/>
        <w:jc w:val="both"/>
      </w:pPr>
      <w:r w:rsidRPr="00CF48A1">
        <w:lastRenderedPageBreak/>
        <w:t>C</w:t>
      </w:r>
      <w:r w:rsidR="0091431F" w:rsidRPr="00CF48A1">
        <w:t>ette étude a montré que les pharmaciens d’officine de la préfecture de Rabat ont des bonnes connaissances concernant les inhibiteurs SGLT2.</w:t>
      </w:r>
      <w:r w:rsidR="00397031" w:rsidRPr="00CF48A1">
        <w:t xml:space="preserve">Ces </w:t>
      </w:r>
      <w:r w:rsidR="0091431F" w:rsidRPr="00CF48A1">
        <w:t>résultat</w:t>
      </w:r>
      <w:r w:rsidR="00397031" w:rsidRPr="00CF48A1">
        <w:t>s</w:t>
      </w:r>
      <w:r w:rsidR="0091431F" w:rsidRPr="00CF48A1">
        <w:t xml:space="preserve"> sont similaires à ceux de l'étude menée en Jordanie</w:t>
      </w:r>
      <w:r w:rsidRPr="00CF48A1">
        <w:t xml:space="preserve"> </w:t>
      </w:r>
      <w:r w:rsidR="0091431F" w:rsidRPr="00CF48A1">
        <w:t>(</w:t>
      </w:r>
      <w:r w:rsidR="00CF48A1" w:rsidRPr="00CF48A1">
        <w:t>5</w:t>
      </w:r>
      <w:r w:rsidR="0091431F" w:rsidRPr="00CF48A1">
        <w:t>).</w:t>
      </w:r>
    </w:p>
    <w:p w14:paraId="6507D923" w14:textId="3A240AB2" w:rsidR="00397031" w:rsidRPr="00CF48A1" w:rsidRDefault="00397031" w:rsidP="008F6AC3">
      <w:pPr>
        <w:spacing w:line="360" w:lineRule="auto"/>
        <w:jc w:val="both"/>
      </w:pPr>
      <w:r w:rsidRPr="00CF48A1">
        <w:t>Notre travail a</w:t>
      </w:r>
      <w:r w:rsidR="0091431F" w:rsidRPr="00CF48A1">
        <w:t xml:space="preserve"> montré </w:t>
      </w:r>
      <w:r w:rsidR="00313512" w:rsidRPr="00CF48A1">
        <w:t xml:space="preserve">aussi </w:t>
      </w:r>
      <w:r w:rsidR="0091431F" w:rsidRPr="00CF48A1">
        <w:t xml:space="preserve">que le sexe du pharmacien n’affecte pas leur niveau de </w:t>
      </w:r>
      <w:r w:rsidRPr="00CF48A1">
        <w:t>connaissance. Cette</w:t>
      </w:r>
      <w:r w:rsidR="0091431F" w:rsidRPr="00CF48A1">
        <w:t xml:space="preserve"> observation est en accord avec trois études antérieures (</w:t>
      </w:r>
      <w:r w:rsidR="00CF48A1" w:rsidRPr="00CF48A1">
        <w:t>5</w:t>
      </w:r>
      <w:r w:rsidR="0091431F" w:rsidRPr="00CF48A1">
        <w:t>) (</w:t>
      </w:r>
      <w:r w:rsidR="00CF48A1" w:rsidRPr="00CF48A1">
        <w:t>6</w:t>
      </w:r>
      <w:r w:rsidR="0091431F" w:rsidRPr="00CF48A1">
        <w:t>) (</w:t>
      </w:r>
      <w:r w:rsidR="00CF48A1" w:rsidRPr="00CF48A1">
        <w:t>7</w:t>
      </w:r>
      <w:r w:rsidR="0091431F" w:rsidRPr="00CF48A1">
        <w:t>).</w:t>
      </w:r>
    </w:p>
    <w:p w14:paraId="7921EF59" w14:textId="22110B72" w:rsidR="00587ED9" w:rsidRPr="00CF48A1" w:rsidRDefault="0091431F" w:rsidP="008F6AC3">
      <w:pPr>
        <w:spacing w:line="360" w:lineRule="auto"/>
        <w:jc w:val="both"/>
      </w:pPr>
      <w:r w:rsidRPr="00CF48A1">
        <w:t>En revanche</w:t>
      </w:r>
      <w:r w:rsidR="00313512" w:rsidRPr="00CF48A1">
        <w:t xml:space="preserve"> </w:t>
      </w:r>
      <w:r w:rsidRPr="00CF48A1">
        <w:t xml:space="preserve">et contrairement à celle de Jordanie, l'âge du pharmacien avait un impact sur le niveau de connaissances. En effet, les pharmaciens plus jeunes </w:t>
      </w:r>
      <w:r w:rsidR="00587ED9" w:rsidRPr="00CF48A1">
        <w:t>(</w:t>
      </w:r>
      <w:r w:rsidRPr="00CF48A1">
        <w:t>âgés de moins de 32 ans</w:t>
      </w:r>
      <w:r w:rsidR="00587ED9" w:rsidRPr="00CF48A1">
        <w:t xml:space="preserve">) </w:t>
      </w:r>
      <w:r w:rsidRPr="00CF48A1">
        <w:t xml:space="preserve">ont montré une meilleure connaissance par rapport aux ceux de plus de 32 </w:t>
      </w:r>
      <w:r w:rsidR="00313512" w:rsidRPr="00CF48A1">
        <w:t>ans. Ce qui peut être expliquer</w:t>
      </w:r>
      <w:r w:rsidRPr="00CF48A1">
        <w:t xml:space="preserve"> </w:t>
      </w:r>
      <w:r w:rsidR="00313512" w:rsidRPr="00CF48A1">
        <w:t xml:space="preserve">par </w:t>
      </w:r>
      <w:r w:rsidRPr="00CF48A1">
        <w:t>plusieurs</w:t>
      </w:r>
      <w:r w:rsidR="00587ED9" w:rsidRPr="00CF48A1">
        <w:t> raisons :</w:t>
      </w:r>
    </w:p>
    <w:p w14:paraId="25E82F28" w14:textId="0F8EDD35" w:rsidR="00587ED9" w:rsidRPr="00CF48A1" w:rsidRDefault="00587ED9" w:rsidP="008F6AC3">
      <w:pPr>
        <w:spacing w:line="360" w:lineRule="auto"/>
        <w:jc w:val="both"/>
      </w:pPr>
      <w:r w:rsidRPr="00CF48A1">
        <w:t>Les</w:t>
      </w:r>
      <w:r w:rsidR="0091431F" w:rsidRPr="00CF48A1">
        <w:t xml:space="preserve"> pharmaciens les plus jeunes ont bénéficié de la nouvelle réforme des études pharmaceutiques au Maroc qui a été lancé dans l’année scolaire 2014-2015</w:t>
      </w:r>
      <w:r w:rsidRPr="00CF48A1">
        <w:t>, qui</w:t>
      </w:r>
      <w:r w:rsidR="0091431F" w:rsidRPr="00CF48A1">
        <w:t xml:space="preserve"> se caractérise par la mise à jour des programmes d’étude, l’utilisation d</w:t>
      </w:r>
      <w:r w:rsidRPr="00CF48A1">
        <w:t>’</w:t>
      </w:r>
      <w:r w:rsidR="0091431F" w:rsidRPr="00CF48A1">
        <w:t>outils informatiques dans l'</w:t>
      </w:r>
      <w:r w:rsidRPr="00CF48A1">
        <w:t>enseignement, la</w:t>
      </w:r>
      <w:r w:rsidR="0091431F" w:rsidRPr="00CF48A1">
        <w:t xml:space="preserve"> promotion de la recherche scientifique en sciences des médicaments</w:t>
      </w:r>
      <w:r w:rsidRPr="00CF48A1">
        <w:t xml:space="preserve"> et l’intégration d</w:t>
      </w:r>
      <w:r w:rsidR="0091431F" w:rsidRPr="00CF48A1">
        <w:t>es stages</w:t>
      </w:r>
      <w:r w:rsidRPr="00CF48A1">
        <w:t xml:space="preserve"> aux services</w:t>
      </w:r>
      <w:r w:rsidR="0091431F" w:rsidRPr="00CF48A1">
        <w:t xml:space="preserve"> cliniques </w:t>
      </w:r>
      <w:r w:rsidRPr="00CF48A1">
        <w:t>,qui ont permis aux jeunes pharmaciens</w:t>
      </w:r>
      <w:r w:rsidR="0091431F" w:rsidRPr="00CF48A1">
        <w:t xml:space="preserve"> l'application </w:t>
      </w:r>
      <w:r w:rsidRPr="00CF48A1">
        <w:t>de leurs</w:t>
      </w:r>
      <w:r w:rsidR="0091431F" w:rsidRPr="00CF48A1">
        <w:t xml:space="preserve"> connaissances pharmaceutiques dans des contextes cliniques réels, favorisant ainsi une compréhension approfondie des médicaments et de leur utilisation chez les patients</w:t>
      </w:r>
      <w:r w:rsidRPr="00CF48A1">
        <w:t xml:space="preserve"> (</w:t>
      </w:r>
      <w:r w:rsidR="00CF48A1" w:rsidRPr="00CF48A1">
        <w:t>8</w:t>
      </w:r>
      <w:r w:rsidR="0091431F" w:rsidRPr="00CF48A1">
        <w:t>).</w:t>
      </w:r>
    </w:p>
    <w:p w14:paraId="78A513FA" w14:textId="77777777" w:rsidR="00587ED9" w:rsidRPr="00CF48A1" w:rsidRDefault="00587ED9" w:rsidP="008F6AC3">
      <w:pPr>
        <w:spacing w:line="360" w:lineRule="auto"/>
        <w:jc w:val="both"/>
      </w:pPr>
    </w:p>
    <w:p w14:paraId="3B232D81" w14:textId="10A0BEAE" w:rsidR="00DF0D21" w:rsidRPr="00CF48A1" w:rsidRDefault="00DF0D21" w:rsidP="008F6AC3">
      <w:pPr>
        <w:spacing w:line="360" w:lineRule="auto"/>
        <w:jc w:val="both"/>
      </w:pPr>
      <w:r w:rsidRPr="00CF48A1">
        <w:t>N</w:t>
      </w:r>
      <w:r w:rsidR="0091431F" w:rsidRPr="00CF48A1">
        <w:t>otre étude a révélé comme l’étude de Jordanie</w:t>
      </w:r>
      <w:r w:rsidR="00313512" w:rsidRPr="00CF48A1">
        <w:t xml:space="preserve"> </w:t>
      </w:r>
      <w:r w:rsidR="0091431F" w:rsidRPr="00CF48A1">
        <w:t>(</w:t>
      </w:r>
      <w:r w:rsidR="00CF48A1" w:rsidRPr="00CF48A1">
        <w:t>5</w:t>
      </w:r>
      <w:r w:rsidR="0091431F" w:rsidRPr="00CF48A1">
        <w:t xml:space="preserve">) qu'il n'y avait aucune différence dans le niveau de connaissance entre les pharmaciens exerçant en milieu urbain et ceux </w:t>
      </w:r>
      <w:r w:rsidRPr="00CF48A1">
        <w:t>du</w:t>
      </w:r>
      <w:r w:rsidR="0091431F" w:rsidRPr="00CF48A1">
        <w:t xml:space="preserve"> milieu rural. Cette constatation va à l'encontre d'autres études antérieures</w:t>
      </w:r>
      <w:r w:rsidR="00313512" w:rsidRPr="00CF48A1">
        <w:t xml:space="preserve"> </w:t>
      </w:r>
      <w:r w:rsidR="0091431F" w:rsidRPr="00CF48A1">
        <w:t>(</w:t>
      </w:r>
      <w:r w:rsidR="00CF48A1" w:rsidRPr="00CF48A1">
        <w:t>9</w:t>
      </w:r>
      <w:r w:rsidR="0091431F" w:rsidRPr="00CF48A1">
        <w:t>) (</w:t>
      </w:r>
      <w:r w:rsidR="00CF48A1" w:rsidRPr="00CF48A1">
        <w:t>10</w:t>
      </w:r>
      <w:r w:rsidR="0091431F" w:rsidRPr="00CF48A1">
        <w:t>).</w:t>
      </w:r>
      <w:r w:rsidR="00313512" w:rsidRPr="00CF48A1">
        <w:t xml:space="preserve"> </w:t>
      </w:r>
      <w:r w:rsidR="0091431F" w:rsidRPr="00CF48A1">
        <w:t xml:space="preserve">Ce résultat peut être expliqué, d’une part, par le faible nombre de pharmaciens des zones rurales participants à l'étude en raison de la prédominance urbaine dans la préfecture de Rabat, et d'autre part, par la proximité géographique qui permet aux patients de recevoir des consultations dans la ville de Rabat. </w:t>
      </w:r>
    </w:p>
    <w:p w14:paraId="4F9581C8" w14:textId="77777777" w:rsidR="004579BB" w:rsidRPr="00CF48A1" w:rsidRDefault="004579BB" w:rsidP="008F6AC3">
      <w:pPr>
        <w:spacing w:line="360" w:lineRule="auto"/>
        <w:jc w:val="both"/>
      </w:pPr>
    </w:p>
    <w:p w14:paraId="72FD4FD6" w14:textId="344F7028" w:rsidR="00DF0D21" w:rsidRPr="00CF48A1" w:rsidRDefault="0091431F" w:rsidP="008F6AC3">
      <w:pPr>
        <w:spacing w:line="360" w:lineRule="auto"/>
        <w:jc w:val="both"/>
      </w:pPr>
      <w:r w:rsidRPr="00CF48A1">
        <w:t>Notre étude a mis en évidence la relation entre l'auto-évaluation d</w:t>
      </w:r>
      <w:r w:rsidR="000F60A4" w:rsidRPr="00CF48A1">
        <w:t>es</w:t>
      </w:r>
      <w:r w:rsidRPr="00CF48A1">
        <w:t xml:space="preserve"> pharmacien</w:t>
      </w:r>
      <w:r w:rsidR="000F60A4" w:rsidRPr="00CF48A1">
        <w:t>s</w:t>
      </w:r>
      <w:r w:rsidRPr="00CF48A1">
        <w:t xml:space="preserve">, les sources d'information, et </w:t>
      </w:r>
      <w:r w:rsidR="000D004D" w:rsidRPr="00CF48A1">
        <w:t>leurs niveaux</w:t>
      </w:r>
      <w:r w:rsidRPr="00CF48A1">
        <w:t xml:space="preserve"> de connaissance</w:t>
      </w:r>
      <w:r w:rsidR="000E61DA" w:rsidRPr="00CF48A1">
        <w:t xml:space="preserve"> or l</w:t>
      </w:r>
      <w:r w:rsidR="00DF0D21" w:rsidRPr="00CF48A1">
        <w:t>’utilisation</w:t>
      </w:r>
      <w:r w:rsidRPr="00CF48A1">
        <w:t xml:space="preserve"> de sites web médicaux et de revues scientifiques a été associée à un meilleur niveau de </w:t>
      </w:r>
      <w:r w:rsidR="000E61DA" w:rsidRPr="00CF48A1">
        <w:t>connaissances, ce qui est en accord avec une</w:t>
      </w:r>
      <w:r w:rsidRPr="00CF48A1">
        <w:t xml:space="preserve"> étude américaine, où la plupart des pharmaciens qui utilisent des sites web ont déclaré être en mesure de répondre de manière plus efficace aux questions des patients</w:t>
      </w:r>
      <w:r w:rsidR="000E61DA" w:rsidRPr="00CF48A1">
        <w:t xml:space="preserve"> </w:t>
      </w:r>
      <w:r w:rsidRPr="00CF48A1">
        <w:t>(</w:t>
      </w:r>
      <w:r w:rsidR="00CF48A1" w:rsidRPr="00CF48A1">
        <w:t>11</w:t>
      </w:r>
      <w:r w:rsidRPr="00CF48A1">
        <w:t>).</w:t>
      </w:r>
    </w:p>
    <w:p w14:paraId="733F00FB" w14:textId="4EC4F260" w:rsidR="00DF0D21" w:rsidRPr="00CF48A1" w:rsidRDefault="0091431F" w:rsidP="008F6AC3">
      <w:pPr>
        <w:spacing w:line="360" w:lineRule="auto"/>
        <w:jc w:val="both"/>
      </w:pPr>
      <w:r w:rsidRPr="00CF48A1">
        <w:t xml:space="preserve">L'utilisation de revues scientifiques, en tant que source d'information pour les </w:t>
      </w:r>
      <w:r w:rsidR="004579BB" w:rsidRPr="00CF48A1">
        <w:t>pharmaciens,</w:t>
      </w:r>
      <w:r w:rsidRPr="00CF48A1">
        <w:t xml:space="preserve"> est quelque chose d'inhabituel dans d'autres études indiquant une faible dépendance des pharmaciens </w:t>
      </w:r>
      <w:r w:rsidR="004579BB" w:rsidRPr="00CF48A1">
        <w:t>à</w:t>
      </w:r>
      <w:r w:rsidRPr="00CF48A1">
        <w:t xml:space="preserve"> cette source (</w:t>
      </w:r>
      <w:r w:rsidR="00CF48A1" w:rsidRPr="00CF48A1">
        <w:t>12</w:t>
      </w:r>
      <w:r w:rsidRPr="00CF48A1">
        <w:t>) (</w:t>
      </w:r>
      <w:r w:rsidR="00CF48A1" w:rsidRPr="00CF48A1">
        <w:t>13</w:t>
      </w:r>
      <w:r w:rsidRPr="00CF48A1">
        <w:t>).</w:t>
      </w:r>
    </w:p>
    <w:p w14:paraId="06F9756D" w14:textId="77777777" w:rsidR="001F1B52" w:rsidRPr="00CF48A1" w:rsidRDefault="0091431F" w:rsidP="008F6AC3">
      <w:pPr>
        <w:spacing w:line="360" w:lineRule="auto"/>
        <w:jc w:val="both"/>
      </w:pPr>
      <w:r w:rsidRPr="00CF48A1">
        <w:lastRenderedPageBreak/>
        <w:t xml:space="preserve">Notre travail a montré, que l’adoption des informations fournies par les délégués pharmaceutiques était corrélée avec des faibles niveau de connaissance. En effet, les délégués </w:t>
      </w:r>
      <w:r w:rsidR="001F1B52" w:rsidRPr="00CF48A1">
        <w:t>médicaux</w:t>
      </w:r>
      <w:r w:rsidRPr="00CF48A1">
        <w:t xml:space="preserve"> ne peuvent être considérés comme une source fiable d'informations pour les pharmaciens en raison de plusieurs facteurs</w:t>
      </w:r>
      <w:r w:rsidR="001F1B52" w:rsidRPr="00CF48A1">
        <w:t> :</w:t>
      </w:r>
    </w:p>
    <w:p w14:paraId="675BF9FA" w14:textId="0D17BFCF" w:rsidR="001F1B52" w:rsidRPr="00CF48A1" w:rsidRDefault="0091431F" w:rsidP="008F6AC3">
      <w:pPr>
        <w:spacing w:line="360" w:lineRule="auto"/>
        <w:jc w:val="both"/>
      </w:pPr>
      <w:r w:rsidRPr="00CF48A1">
        <w:t>D’abord, les délègues pharmaceutiques sont généralement des agents de vente qui travaillent pour promouvoir les produits de leur entreprise. Leur objectif principal est souvent de stimuler les ventes plutôt que de fournir des informations objectives et impartiales ; ils peuvent être influencés par des incitations financières ou des objectifs de vente, ce qui pourrait compromettre l'objectivité de leurs informations. De plus, ils peuvent ne pas avoir une connaissance approfondie des aspects cliniques ou des données scientifiques liées à un médicament. Les études ont montré que la promotion directe des médicaments par les délègues pharmaceutiques peut conduire à une prescription excessive ou inappropriée</w:t>
      </w:r>
      <w:r w:rsidR="000A39A8" w:rsidRPr="00CF48A1">
        <w:t xml:space="preserve"> </w:t>
      </w:r>
      <w:r w:rsidRPr="00CF48A1">
        <w:t>(</w:t>
      </w:r>
      <w:r w:rsidR="00CF48A1" w:rsidRPr="00CF48A1">
        <w:t>14</w:t>
      </w:r>
      <w:r w:rsidRPr="00CF48A1">
        <w:t xml:space="preserve">). </w:t>
      </w:r>
    </w:p>
    <w:p w14:paraId="4E663BDF" w14:textId="77777777" w:rsidR="001F1B52" w:rsidRPr="00CF48A1" w:rsidRDefault="001F1B52" w:rsidP="008F6AC3">
      <w:pPr>
        <w:spacing w:line="360" w:lineRule="auto"/>
        <w:jc w:val="both"/>
      </w:pPr>
    </w:p>
    <w:p w14:paraId="53158662" w14:textId="4E91E760" w:rsidR="00974E78" w:rsidRPr="00CF48A1" w:rsidRDefault="0091431F" w:rsidP="008F6AC3">
      <w:pPr>
        <w:spacing w:line="360" w:lineRule="auto"/>
        <w:jc w:val="both"/>
      </w:pPr>
      <w:r w:rsidRPr="00CF48A1">
        <w:t xml:space="preserve">Par conséquent, les pharmaciens peuvent préférer se fier à des sources d'information plus indépendantes et basées sur des preuves, telles que des revues médicales ou des sites web spécialisés, pour obtenir des informations plus objectives et équilibrées sur les inhibiteurs SGLT2 et d'autres médicaments. </w:t>
      </w:r>
    </w:p>
    <w:p w14:paraId="7BD13856" w14:textId="77777777" w:rsidR="00974E78" w:rsidRPr="00CF48A1" w:rsidRDefault="00974E78" w:rsidP="008F6AC3">
      <w:pPr>
        <w:spacing w:line="360" w:lineRule="auto"/>
        <w:jc w:val="both"/>
      </w:pPr>
    </w:p>
    <w:p w14:paraId="246B3A2C" w14:textId="0FBF95D3" w:rsidR="004579BB" w:rsidRPr="00CF48A1" w:rsidRDefault="0091431F" w:rsidP="008F6AC3">
      <w:pPr>
        <w:spacing w:line="360" w:lineRule="auto"/>
        <w:jc w:val="both"/>
      </w:pPr>
      <w:r w:rsidRPr="00CF48A1">
        <w:t>Les retours des patients, et les perceptions personnelles des pharmaciens ne semblent pas influencer le niveau de connaissance dans le contexte étudié. Cependant, il est bien connu que les prix des médicaments sont un problème majeur pour l’accès à des nouvelles thérapeutiques comme les inhibiteurs SGLT2(</w:t>
      </w:r>
      <w:r w:rsidR="00CF48A1" w:rsidRPr="00CF48A1">
        <w:t>15</w:t>
      </w:r>
      <w:r w:rsidR="004579BB" w:rsidRPr="00CF48A1">
        <w:t>)</w:t>
      </w:r>
      <w:r w:rsidRPr="00CF48A1">
        <w:t xml:space="preserve">. Bien que de nombreux pharmaciens aient signalé que le coût des médicaments constitue un obstacle de dispensation, cette perception n'a apparemment pas eu d'impact sur leur niveau de connaissance. Ce résultat a été démontré dans des études antérieures qui ont confirmé </w:t>
      </w:r>
      <w:r w:rsidR="004579BB" w:rsidRPr="00CF48A1">
        <w:t>qu’il</w:t>
      </w:r>
      <w:r w:rsidRPr="00CF48A1">
        <w:t xml:space="preserve"> </w:t>
      </w:r>
      <w:proofErr w:type="gramStart"/>
      <w:r w:rsidRPr="00CF48A1">
        <w:t>n y</w:t>
      </w:r>
      <w:proofErr w:type="gramEnd"/>
      <w:r w:rsidRPr="00CF48A1">
        <w:t xml:space="preserve"> a pas une relation directe entre les prix des médicaments et les connaissances des pharmaciens </w:t>
      </w:r>
      <w:r w:rsidR="004579BB" w:rsidRPr="00CF48A1">
        <w:t>d’officine,</w:t>
      </w:r>
      <w:r w:rsidRPr="00CF48A1">
        <w:t xml:space="preserve"> et que l’intégration de ces derniers dans le parcours de soins peut réduire le cout et améliorer </w:t>
      </w:r>
      <w:r w:rsidR="004579BB" w:rsidRPr="00CF48A1">
        <w:t>l’observance. (</w:t>
      </w:r>
      <w:r w:rsidR="00CF48A1" w:rsidRPr="00CF48A1">
        <w:t>16</w:t>
      </w:r>
      <w:r w:rsidRPr="00CF48A1">
        <w:t>) (</w:t>
      </w:r>
      <w:r w:rsidR="00CF48A1" w:rsidRPr="00CF48A1">
        <w:t>17</w:t>
      </w:r>
      <w:r w:rsidRPr="00CF48A1">
        <w:t xml:space="preserve">) </w:t>
      </w:r>
    </w:p>
    <w:p w14:paraId="40A3786F" w14:textId="77777777" w:rsidR="004579BB" w:rsidRPr="00CF48A1" w:rsidRDefault="004579BB" w:rsidP="008F6AC3">
      <w:pPr>
        <w:spacing w:line="360" w:lineRule="auto"/>
        <w:jc w:val="both"/>
      </w:pPr>
    </w:p>
    <w:p w14:paraId="5A501AFB" w14:textId="77777777" w:rsidR="00D96E5C" w:rsidRPr="00CF48A1" w:rsidRDefault="0091431F" w:rsidP="008F6AC3">
      <w:pPr>
        <w:spacing w:line="360" w:lineRule="auto"/>
        <w:jc w:val="both"/>
      </w:pPr>
      <w:r w:rsidRPr="00CF48A1">
        <w:t xml:space="preserve">L'étude que nous avons menée a abouti à la confirmation de la plupart des résultats obtenus dans des </w:t>
      </w:r>
      <w:r w:rsidR="004579BB" w:rsidRPr="00CF48A1">
        <w:t>études</w:t>
      </w:r>
      <w:r w:rsidRPr="00CF48A1">
        <w:t xml:space="preserve"> antérieures. Cette concordance suggère une cohérence dans les conclusions et renforce la validité des constatations initiales.</w:t>
      </w:r>
    </w:p>
    <w:p w14:paraId="4E27F529" w14:textId="51EE3B02" w:rsidR="0091431F" w:rsidRPr="00CF48A1" w:rsidRDefault="0091431F" w:rsidP="008F6AC3">
      <w:pPr>
        <w:spacing w:line="360" w:lineRule="auto"/>
        <w:jc w:val="both"/>
      </w:pPr>
      <w:r w:rsidRPr="00CF48A1">
        <w:t xml:space="preserve">En conclusion, nos résultats indiquent clairement que la participation à des cours dédiés au diabète ainsi que l'utilisation de sources d'informations fiables, notamment les sites médicaux et les revues médicales, sont des facteurs positivement corrélés à une meilleure </w:t>
      </w:r>
      <w:r w:rsidRPr="00CF48A1">
        <w:lastRenderedPageBreak/>
        <w:t>compréhension des inhibiteurs SGLT2. Ces constatations soulignent l'importance cruciale de la formation continue et de l'accès à des ressources d'information pertinentes pour les pharmaciens d'officine. En renforçant leurs connaissances sur ces médicaments, les pharmaciens sont mieux équipés pour conseiller les patients atteints de diabète et contribuer à une gestion plus efficace de cette pathologie</w:t>
      </w:r>
      <w:r w:rsidR="001F1B52" w:rsidRPr="00CF48A1">
        <w:t xml:space="preserve"> </w:t>
      </w:r>
      <w:r w:rsidRPr="00CF48A1">
        <w:t>(</w:t>
      </w:r>
      <w:r w:rsidR="00CF48A1" w:rsidRPr="00CF48A1">
        <w:t>18</w:t>
      </w:r>
      <w:r w:rsidRPr="00CF48A1">
        <w:t>). Cette conclusion met en évidence la nécessité d'encourager et de soutenir le développement professionnel des pharmaciens d'officine</w:t>
      </w:r>
      <w:r w:rsidR="00D96E5C" w:rsidRPr="00CF48A1">
        <w:t xml:space="preserve"> </w:t>
      </w:r>
      <w:r w:rsidRPr="00CF48A1">
        <w:t>(</w:t>
      </w:r>
      <w:r w:rsidR="00CF48A1" w:rsidRPr="00CF48A1">
        <w:t>19</w:t>
      </w:r>
      <w:r w:rsidRPr="00CF48A1">
        <w:t xml:space="preserve">). </w:t>
      </w:r>
    </w:p>
    <w:p w14:paraId="6DF507E6" w14:textId="77777777" w:rsidR="00F07836" w:rsidRPr="00CF48A1" w:rsidRDefault="00F07836" w:rsidP="009A5599">
      <w:pPr>
        <w:jc w:val="both"/>
      </w:pPr>
    </w:p>
    <w:p w14:paraId="6C3CF2DF" w14:textId="22727F01" w:rsidR="00F07836" w:rsidRPr="00CF48A1" w:rsidRDefault="008F6AC3" w:rsidP="00940DA5">
      <w:pPr>
        <w:pStyle w:val="Paragraphedeliste"/>
        <w:numPr>
          <w:ilvl w:val="0"/>
          <w:numId w:val="10"/>
        </w:numPr>
        <w:jc w:val="both"/>
        <w:rPr>
          <w:b/>
          <w:bCs/>
        </w:rPr>
      </w:pPr>
      <w:r w:rsidRPr="00CF48A1">
        <w:rPr>
          <w:b/>
          <w:bCs/>
        </w:rPr>
        <w:t>CONCLUSION</w:t>
      </w:r>
      <w:r w:rsidR="00990FB7" w:rsidRPr="00CF48A1">
        <w:rPr>
          <w:b/>
          <w:bCs/>
        </w:rPr>
        <w:t> :</w:t>
      </w:r>
    </w:p>
    <w:p w14:paraId="793E39A3" w14:textId="77777777" w:rsidR="00F07836" w:rsidRPr="00CF48A1" w:rsidRDefault="00F07836" w:rsidP="009A5599">
      <w:pPr>
        <w:jc w:val="both"/>
      </w:pPr>
    </w:p>
    <w:p w14:paraId="2E82B83E" w14:textId="5BFA2AF6" w:rsidR="00370604" w:rsidRPr="00CF48A1" w:rsidRDefault="001F1B52" w:rsidP="00832E84">
      <w:pPr>
        <w:spacing w:line="360" w:lineRule="auto"/>
        <w:jc w:val="both"/>
      </w:pPr>
      <w:r w:rsidRPr="00CF48A1">
        <w:t>Pour conclure nous pouvons dire que notre travail a exploré de manière approfondie la place des inhibiteurs SGLT2 dans les approches thérapeutiques actuelles du diabète type 2 ; qui représentent un</w:t>
      </w:r>
      <w:r w:rsidR="00ED22D5">
        <w:t xml:space="preserve"> progrès </w:t>
      </w:r>
      <w:r w:rsidRPr="00CF48A1">
        <w:t xml:space="preserve">dans le traitement de cette </w:t>
      </w:r>
      <w:r w:rsidR="00493DA3" w:rsidRPr="00CF48A1">
        <w:t>pathologie.</w:t>
      </w:r>
      <w:r w:rsidRPr="00CF48A1">
        <w:t xml:space="preserve"> Le rôle crucial du pharmacien dans la gestion du diabète de type 2 et l'utilisation des inhibiteurs SGLT2 a été souligné. En tant que professionnel de santé accessible et souvent consulté, le pharmacien d’officine joue un rôle pivot dans l'éducation des patients, la surveillance des traitements et l'optimisation des résultats </w:t>
      </w:r>
      <w:r w:rsidR="00F04B65" w:rsidRPr="00CF48A1">
        <w:t>thérapeutiques. L’évaluation</w:t>
      </w:r>
      <w:r w:rsidRPr="00CF48A1">
        <w:t xml:space="preserve"> </w:t>
      </w:r>
      <w:r w:rsidR="00F04B65" w:rsidRPr="00CF48A1">
        <w:t>du</w:t>
      </w:r>
      <w:r w:rsidRPr="00CF48A1">
        <w:t xml:space="preserve"> niveau de connaissance des pharmaciens d'officine de la préfecture de Rabat sur les inhibiteurs SGLT2</w:t>
      </w:r>
      <w:r w:rsidR="00F04B65" w:rsidRPr="00CF48A1">
        <w:t xml:space="preserve"> </w:t>
      </w:r>
      <w:r w:rsidR="001B6C25" w:rsidRPr="00CF48A1">
        <w:t>à</w:t>
      </w:r>
      <w:r w:rsidRPr="00CF48A1">
        <w:t xml:space="preserve"> soulign</w:t>
      </w:r>
      <w:r w:rsidR="00F04B65" w:rsidRPr="00CF48A1">
        <w:t>er</w:t>
      </w:r>
      <w:r w:rsidRPr="00CF48A1">
        <w:t xml:space="preserve"> l'importance de la formation continue et le choix de</w:t>
      </w:r>
      <w:r w:rsidR="00F04B65" w:rsidRPr="00CF48A1">
        <w:t>s</w:t>
      </w:r>
      <w:r w:rsidRPr="00CF48A1">
        <w:t xml:space="preserve"> source</w:t>
      </w:r>
      <w:r w:rsidR="00F04B65" w:rsidRPr="00CF48A1">
        <w:t>s</w:t>
      </w:r>
      <w:r w:rsidRPr="00CF48A1">
        <w:t xml:space="preserve"> d’information pour garantir une utilisation optimale de ces médicaments innovants.</w:t>
      </w:r>
      <w:r w:rsidR="00832E84" w:rsidRPr="00CF48A1">
        <w:t xml:space="preserve"> </w:t>
      </w:r>
      <w:r w:rsidR="00370604" w:rsidRPr="00CF48A1">
        <w:t xml:space="preserve">À la lumière de ces résultats, plusieurs recommandations émergent pour améliorer le niveau de connaissance de ces professionnels de la santé : </w:t>
      </w:r>
    </w:p>
    <w:p w14:paraId="67E2DCD1" w14:textId="65E34E52" w:rsidR="00F07836" w:rsidRPr="00CF48A1" w:rsidRDefault="00370604" w:rsidP="008F6AC3">
      <w:pPr>
        <w:spacing w:line="360" w:lineRule="auto"/>
        <w:jc w:val="both"/>
      </w:pPr>
      <w:r w:rsidRPr="00CF48A1">
        <w:t>-Organiser des sessions de formation régulières dédiées aux pharmaciens, avec un focus spécifique sur le diabète et les traitements récents comme les inhibiteurs SGLT2.</w:t>
      </w:r>
    </w:p>
    <w:p w14:paraId="053E23E8" w14:textId="47D989EC" w:rsidR="00370604" w:rsidRPr="00CF48A1" w:rsidRDefault="00370604" w:rsidP="008F6AC3">
      <w:pPr>
        <w:spacing w:line="360" w:lineRule="auto"/>
        <w:jc w:val="both"/>
      </w:pPr>
      <w:r w:rsidRPr="00CF48A1">
        <w:t>- Collaborer avec des experts en diabétologie et des chercheurs spécialisés dans les inhibiteurs SGLT2 pour assurer la qualité et la pertinence du contenu de formation.</w:t>
      </w:r>
    </w:p>
    <w:p w14:paraId="3BF436ED" w14:textId="5C91DE4B" w:rsidR="00370604" w:rsidRPr="00CF48A1" w:rsidRDefault="00370604" w:rsidP="008F6AC3">
      <w:pPr>
        <w:spacing w:line="360" w:lineRule="auto"/>
        <w:jc w:val="both"/>
      </w:pPr>
      <w:r w:rsidRPr="00CF48A1">
        <w:t>- Explorer la possibilité d'offrir certains cours en ligne offrant une flexibilité aux pharmaciens pour suivre les formations à leur propre rythme.</w:t>
      </w:r>
    </w:p>
    <w:p w14:paraId="22EBEC0E" w14:textId="77777777" w:rsidR="00370604" w:rsidRPr="00CF48A1" w:rsidRDefault="00370604" w:rsidP="009A5599">
      <w:pPr>
        <w:jc w:val="both"/>
      </w:pPr>
    </w:p>
    <w:p w14:paraId="74C694E7" w14:textId="77777777" w:rsidR="001B6C25" w:rsidRPr="00CF48A1" w:rsidRDefault="001B6C25" w:rsidP="009A5599">
      <w:pPr>
        <w:jc w:val="both"/>
      </w:pPr>
    </w:p>
    <w:p w14:paraId="43287AA2" w14:textId="77777777" w:rsidR="001B6C25" w:rsidRPr="00CF48A1" w:rsidRDefault="001B6C25" w:rsidP="009A5599">
      <w:pPr>
        <w:jc w:val="both"/>
      </w:pPr>
    </w:p>
    <w:p w14:paraId="1D7FEA77" w14:textId="77777777" w:rsidR="001B6C25" w:rsidRDefault="001B6C25" w:rsidP="009A5599">
      <w:pPr>
        <w:jc w:val="both"/>
      </w:pPr>
    </w:p>
    <w:p w14:paraId="30C76273" w14:textId="77777777" w:rsidR="008123DF" w:rsidRPr="00CF48A1" w:rsidRDefault="008123DF" w:rsidP="009A5599">
      <w:pPr>
        <w:jc w:val="both"/>
      </w:pPr>
    </w:p>
    <w:p w14:paraId="2E6655FF" w14:textId="77777777" w:rsidR="001B6C25" w:rsidRPr="00CF48A1" w:rsidRDefault="001B6C25" w:rsidP="009A5599">
      <w:pPr>
        <w:jc w:val="both"/>
      </w:pPr>
    </w:p>
    <w:p w14:paraId="75E0D59A" w14:textId="77777777" w:rsidR="001B6C25" w:rsidRPr="00CF48A1" w:rsidRDefault="001B6C25" w:rsidP="009A5599">
      <w:pPr>
        <w:jc w:val="both"/>
      </w:pPr>
    </w:p>
    <w:p w14:paraId="48A8DC12" w14:textId="77777777" w:rsidR="001B6C25" w:rsidRPr="00CF48A1" w:rsidRDefault="001B6C25" w:rsidP="009A5599">
      <w:pPr>
        <w:jc w:val="both"/>
      </w:pPr>
    </w:p>
    <w:p w14:paraId="19929286" w14:textId="77777777" w:rsidR="001B6C25" w:rsidRPr="00CF48A1" w:rsidRDefault="001B6C25" w:rsidP="009A5599">
      <w:pPr>
        <w:jc w:val="both"/>
      </w:pPr>
    </w:p>
    <w:p w14:paraId="0F5E4E1B" w14:textId="77777777" w:rsidR="001B6C25" w:rsidRPr="00CF48A1" w:rsidRDefault="001B6C25" w:rsidP="009A5599">
      <w:pPr>
        <w:jc w:val="both"/>
      </w:pPr>
    </w:p>
    <w:p w14:paraId="51366B86" w14:textId="77777777" w:rsidR="001B6C25" w:rsidRPr="00CF48A1" w:rsidRDefault="001B6C25" w:rsidP="009A5599">
      <w:pPr>
        <w:jc w:val="both"/>
      </w:pPr>
    </w:p>
    <w:p w14:paraId="32D01176" w14:textId="182702D3" w:rsidR="006726B0" w:rsidRPr="00CF48A1" w:rsidRDefault="00370604" w:rsidP="000802CB">
      <w:pPr>
        <w:jc w:val="both"/>
        <w:rPr>
          <w:noProof/>
          <w:lang w:eastAsia="fr-FR"/>
        </w:rPr>
      </w:pPr>
      <w:r w:rsidRPr="00CF48A1">
        <w:lastRenderedPageBreak/>
        <w:t>Annexe N°</w:t>
      </w:r>
      <w:r w:rsidR="001B6C25" w:rsidRPr="00CF48A1">
        <w:t>1 :</w:t>
      </w:r>
      <w:r w:rsidRPr="00CF48A1">
        <w:t xml:space="preserve"> La fiche d’enquêt</w:t>
      </w:r>
      <w:r w:rsidR="006726B0" w:rsidRPr="00CF48A1">
        <w:rPr>
          <w:noProof/>
          <w:lang w:eastAsia="fr-FR"/>
        </w:rPr>
        <w:t>e</w:t>
      </w:r>
    </w:p>
    <w:p w14:paraId="56518D6C" w14:textId="5D524DFD" w:rsidR="006726B0" w:rsidRPr="008123DF" w:rsidRDefault="006726B0" w:rsidP="008123DF">
      <w:pPr>
        <w:pBdr>
          <w:top w:val="single" w:sz="4" w:space="1" w:color="auto"/>
          <w:left w:val="single" w:sz="4" w:space="1" w:color="auto"/>
          <w:bottom w:val="single" w:sz="4" w:space="0" w:color="auto"/>
          <w:right w:val="single" w:sz="4" w:space="1" w:color="auto"/>
        </w:pBdr>
        <w:jc w:val="both"/>
        <w:rPr>
          <w:b/>
          <w:bCs/>
          <w:noProof/>
          <w:sz w:val="22"/>
          <w:szCs w:val="22"/>
          <w:lang w:eastAsia="fr-FR"/>
        </w:rPr>
      </w:pPr>
      <w:r w:rsidRPr="008123DF">
        <w:rPr>
          <w:b/>
          <w:bCs/>
          <w:noProof/>
          <w:sz w:val="22"/>
          <w:szCs w:val="22"/>
          <w:lang w:eastAsia="fr-FR"/>
        </w:rPr>
        <w:t>Partie 1 : Données Démographiques et professionnelles (</w:t>
      </w:r>
      <w:r w:rsidR="00D01BE3" w:rsidRPr="008123DF">
        <w:rPr>
          <w:b/>
          <w:bCs/>
          <w:noProof/>
          <w:sz w:val="22"/>
          <w:szCs w:val="22"/>
          <w:lang w:eastAsia="fr-FR"/>
        </w:rPr>
        <w:t xml:space="preserve">4 </w:t>
      </w:r>
      <w:r w:rsidRPr="008123DF">
        <w:rPr>
          <w:b/>
          <w:bCs/>
          <w:noProof/>
          <w:sz w:val="22"/>
          <w:szCs w:val="22"/>
          <w:lang w:eastAsia="fr-FR"/>
        </w:rPr>
        <w:t>questions)</w:t>
      </w:r>
    </w:p>
    <w:p w14:paraId="11AB45BF" w14:textId="77777777" w:rsidR="006726B0" w:rsidRPr="008123DF" w:rsidRDefault="006726B0" w:rsidP="008123DF">
      <w:pPr>
        <w:pBdr>
          <w:top w:val="single" w:sz="4" w:space="1" w:color="auto"/>
          <w:left w:val="single" w:sz="4" w:space="1" w:color="auto"/>
          <w:bottom w:val="single" w:sz="4" w:space="0" w:color="auto"/>
          <w:right w:val="single" w:sz="4" w:space="1" w:color="auto"/>
        </w:pBdr>
        <w:jc w:val="both"/>
        <w:rPr>
          <w:noProof/>
          <w:sz w:val="22"/>
          <w:szCs w:val="22"/>
          <w:lang w:eastAsia="fr-FR"/>
        </w:rPr>
      </w:pPr>
      <w:r w:rsidRPr="008123DF">
        <w:rPr>
          <w:noProof/>
          <w:sz w:val="22"/>
          <w:szCs w:val="22"/>
          <w:lang w:eastAsia="fr-FR"/>
        </w:rPr>
        <w:t xml:space="preserve">1.Quel est votre sexe ? Masculin Féminin </w:t>
      </w:r>
    </w:p>
    <w:p w14:paraId="729F7E3C" w14:textId="77777777" w:rsidR="006726B0" w:rsidRPr="008123DF" w:rsidRDefault="006726B0" w:rsidP="008123DF">
      <w:pPr>
        <w:pBdr>
          <w:top w:val="single" w:sz="4" w:space="1" w:color="auto"/>
          <w:left w:val="single" w:sz="4" w:space="1" w:color="auto"/>
          <w:bottom w:val="single" w:sz="4" w:space="0" w:color="auto"/>
          <w:right w:val="single" w:sz="4" w:space="1" w:color="auto"/>
        </w:pBdr>
        <w:jc w:val="both"/>
        <w:rPr>
          <w:noProof/>
          <w:sz w:val="22"/>
          <w:szCs w:val="22"/>
          <w:lang w:eastAsia="fr-FR"/>
        </w:rPr>
      </w:pPr>
      <w:r w:rsidRPr="008123DF">
        <w:rPr>
          <w:noProof/>
          <w:sz w:val="22"/>
          <w:szCs w:val="22"/>
          <w:lang w:eastAsia="fr-FR"/>
        </w:rPr>
        <w:t>2.Quel est votre âge ? ….. Ans</w:t>
      </w:r>
    </w:p>
    <w:p w14:paraId="6BBAB96F" w14:textId="77777777" w:rsidR="006726B0" w:rsidRPr="008123DF" w:rsidRDefault="006726B0" w:rsidP="008123DF">
      <w:pPr>
        <w:pBdr>
          <w:top w:val="single" w:sz="4" w:space="1" w:color="auto"/>
          <w:left w:val="single" w:sz="4" w:space="1" w:color="auto"/>
          <w:bottom w:val="single" w:sz="4" w:space="0" w:color="auto"/>
          <w:right w:val="single" w:sz="4" w:space="1" w:color="auto"/>
        </w:pBdr>
        <w:jc w:val="both"/>
        <w:rPr>
          <w:noProof/>
          <w:sz w:val="22"/>
          <w:szCs w:val="22"/>
          <w:lang w:eastAsia="fr-FR"/>
        </w:rPr>
      </w:pPr>
      <w:r w:rsidRPr="008123DF">
        <w:rPr>
          <w:noProof/>
          <w:sz w:val="22"/>
          <w:szCs w:val="22"/>
          <w:lang w:eastAsia="fr-FR"/>
        </w:rPr>
        <w:t xml:space="preserve">3.Dans quel territoire votre pharmacie est-elle située ? Urbain Rural </w:t>
      </w:r>
    </w:p>
    <w:p w14:paraId="717A96BC" w14:textId="33CDBB19" w:rsidR="006726B0" w:rsidRPr="008123DF" w:rsidRDefault="006726B0" w:rsidP="008123DF">
      <w:pPr>
        <w:pBdr>
          <w:top w:val="single" w:sz="4" w:space="1" w:color="auto"/>
          <w:left w:val="single" w:sz="4" w:space="1" w:color="auto"/>
          <w:bottom w:val="single" w:sz="4" w:space="0" w:color="auto"/>
          <w:right w:val="single" w:sz="4" w:space="1" w:color="auto"/>
        </w:pBdr>
        <w:jc w:val="both"/>
        <w:rPr>
          <w:noProof/>
          <w:sz w:val="22"/>
          <w:szCs w:val="22"/>
          <w:lang w:eastAsia="fr-FR"/>
        </w:rPr>
      </w:pPr>
      <w:r w:rsidRPr="008123DF">
        <w:rPr>
          <w:noProof/>
          <w:sz w:val="22"/>
          <w:szCs w:val="22"/>
          <w:lang w:eastAsia="fr-FR"/>
        </w:rPr>
        <w:t>4.Combien d'années d'expérience avez-vous en tant que pharmacien d’officine ? …. Ans</w:t>
      </w:r>
    </w:p>
    <w:p w14:paraId="1CD9719E" w14:textId="21AD94D8" w:rsidR="006726B0" w:rsidRPr="008123DF" w:rsidRDefault="006726B0" w:rsidP="008123DF">
      <w:pPr>
        <w:pBdr>
          <w:top w:val="single" w:sz="4" w:space="1" w:color="auto"/>
          <w:left w:val="single" w:sz="4" w:space="1" w:color="auto"/>
          <w:bottom w:val="single" w:sz="4" w:space="0" w:color="auto"/>
          <w:right w:val="single" w:sz="4" w:space="1" w:color="auto"/>
        </w:pBdr>
        <w:jc w:val="both"/>
        <w:rPr>
          <w:noProof/>
          <w:sz w:val="22"/>
          <w:szCs w:val="22"/>
          <w:lang w:eastAsia="fr-FR"/>
        </w:rPr>
      </w:pPr>
    </w:p>
    <w:p w14:paraId="5CE8743E" w14:textId="5EC2A8C5" w:rsidR="006726B0" w:rsidRPr="008123DF" w:rsidRDefault="006726B0" w:rsidP="008123DF">
      <w:pPr>
        <w:pBdr>
          <w:top w:val="single" w:sz="4" w:space="1" w:color="auto"/>
          <w:left w:val="single" w:sz="4" w:space="1" w:color="auto"/>
          <w:bottom w:val="single" w:sz="4" w:space="0" w:color="auto"/>
          <w:right w:val="single" w:sz="4" w:space="1" w:color="auto"/>
        </w:pBdr>
        <w:jc w:val="both"/>
        <w:rPr>
          <w:b/>
          <w:bCs/>
          <w:noProof/>
          <w:sz w:val="22"/>
          <w:szCs w:val="22"/>
          <w:lang w:eastAsia="fr-FR"/>
        </w:rPr>
      </w:pPr>
      <w:r w:rsidRPr="008123DF">
        <w:rPr>
          <w:b/>
          <w:bCs/>
          <w:noProof/>
          <w:sz w:val="22"/>
          <w:szCs w:val="22"/>
          <w:lang w:eastAsia="fr-FR"/>
        </w:rPr>
        <w:t>Partie 2 : Score de connaissance des Pharmaciens sur les Inhibiteurs du SGLT2 (</w:t>
      </w:r>
      <w:r w:rsidR="00D01BE3" w:rsidRPr="008123DF">
        <w:rPr>
          <w:b/>
          <w:bCs/>
          <w:noProof/>
          <w:sz w:val="22"/>
          <w:szCs w:val="22"/>
          <w:lang w:eastAsia="fr-FR"/>
        </w:rPr>
        <w:t>09</w:t>
      </w:r>
      <w:r w:rsidRPr="008123DF">
        <w:rPr>
          <w:b/>
          <w:bCs/>
          <w:noProof/>
          <w:sz w:val="22"/>
          <w:szCs w:val="22"/>
          <w:lang w:eastAsia="fr-FR"/>
        </w:rPr>
        <w:t xml:space="preserve"> </w:t>
      </w:r>
    </w:p>
    <w:p w14:paraId="5CC0510D" w14:textId="77777777" w:rsidR="006726B0" w:rsidRPr="008123DF" w:rsidRDefault="006726B0" w:rsidP="008123DF">
      <w:pPr>
        <w:pBdr>
          <w:top w:val="single" w:sz="4" w:space="1" w:color="auto"/>
          <w:left w:val="single" w:sz="4" w:space="1" w:color="auto"/>
          <w:bottom w:val="single" w:sz="4" w:space="0" w:color="auto"/>
          <w:right w:val="single" w:sz="4" w:space="1" w:color="auto"/>
        </w:pBdr>
        <w:jc w:val="both"/>
        <w:rPr>
          <w:b/>
          <w:bCs/>
          <w:noProof/>
          <w:sz w:val="22"/>
          <w:szCs w:val="22"/>
          <w:lang w:eastAsia="fr-FR"/>
        </w:rPr>
      </w:pPr>
      <w:r w:rsidRPr="008123DF">
        <w:rPr>
          <w:b/>
          <w:bCs/>
          <w:noProof/>
          <w:sz w:val="22"/>
          <w:szCs w:val="22"/>
          <w:lang w:eastAsia="fr-FR"/>
        </w:rPr>
        <w:t>questions)</w:t>
      </w:r>
    </w:p>
    <w:p w14:paraId="58F25A74" w14:textId="04E0CDF1" w:rsidR="006726B0" w:rsidRPr="008123DF" w:rsidRDefault="00D01BE3" w:rsidP="008123DF">
      <w:pPr>
        <w:pBdr>
          <w:top w:val="single" w:sz="4" w:space="1" w:color="auto"/>
          <w:left w:val="single" w:sz="4" w:space="1" w:color="auto"/>
          <w:bottom w:val="single" w:sz="4" w:space="0" w:color="auto"/>
          <w:right w:val="single" w:sz="4" w:space="1" w:color="auto"/>
        </w:pBdr>
        <w:jc w:val="both"/>
        <w:rPr>
          <w:noProof/>
          <w:sz w:val="22"/>
          <w:szCs w:val="22"/>
          <w:lang w:eastAsia="fr-FR"/>
        </w:rPr>
      </w:pPr>
      <w:r w:rsidRPr="008123DF">
        <w:rPr>
          <w:noProof/>
          <w:sz w:val="22"/>
          <w:szCs w:val="22"/>
          <w:lang w:eastAsia="fr-FR"/>
        </w:rPr>
        <w:t>5</w:t>
      </w:r>
      <w:r w:rsidR="006726B0" w:rsidRPr="008123DF">
        <w:rPr>
          <w:noProof/>
          <w:sz w:val="22"/>
          <w:szCs w:val="22"/>
          <w:lang w:eastAsia="fr-FR"/>
        </w:rPr>
        <w:t>. Quel est l'effet des inhibiteurs du SGLT2 sur la pression artérielle ?</w:t>
      </w:r>
    </w:p>
    <w:p w14:paraId="64850235" w14:textId="21EB3CA2" w:rsidR="006726B0" w:rsidRPr="008123DF" w:rsidRDefault="00D01BE3" w:rsidP="008123DF">
      <w:pPr>
        <w:pBdr>
          <w:top w:val="single" w:sz="4" w:space="1" w:color="auto"/>
          <w:left w:val="single" w:sz="4" w:space="1" w:color="auto"/>
          <w:bottom w:val="single" w:sz="4" w:space="0" w:color="auto"/>
          <w:right w:val="single" w:sz="4" w:space="1" w:color="auto"/>
        </w:pBdr>
        <w:jc w:val="both"/>
        <w:rPr>
          <w:noProof/>
          <w:sz w:val="22"/>
          <w:szCs w:val="22"/>
          <w:lang w:eastAsia="fr-FR"/>
        </w:rPr>
      </w:pPr>
      <w:r w:rsidRPr="008123DF">
        <w:rPr>
          <w:noProof/>
          <w:sz w:val="22"/>
          <w:szCs w:val="22"/>
          <w:lang w:eastAsia="fr-FR"/>
        </w:rPr>
        <w:t>6</w:t>
      </w:r>
      <w:r w:rsidR="006726B0" w:rsidRPr="008123DF">
        <w:rPr>
          <w:noProof/>
          <w:sz w:val="22"/>
          <w:szCs w:val="22"/>
          <w:lang w:eastAsia="fr-FR"/>
        </w:rPr>
        <w:t>. Quel est le meilleur conseil que vous pouvez donner aux patients prenant ces molécules ?</w:t>
      </w:r>
    </w:p>
    <w:p w14:paraId="5DB2A4F0" w14:textId="19BC89E8" w:rsidR="006726B0" w:rsidRPr="008123DF" w:rsidRDefault="00D01BE3" w:rsidP="008123DF">
      <w:pPr>
        <w:pBdr>
          <w:top w:val="single" w:sz="4" w:space="1" w:color="auto"/>
          <w:left w:val="single" w:sz="4" w:space="1" w:color="auto"/>
          <w:bottom w:val="single" w:sz="4" w:space="0" w:color="auto"/>
          <w:right w:val="single" w:sz="4" w:space="1" w:color="auto"/>
        </w:pBdr>
        <w:jc w:val="both"/>
        <w:rPr>
          <w:noProof/>
          <w:sz w:val="22"/>
          <w:szCs w:val="22"/>
          <w:lang w:eastAsia="fr-FR"/>
        </w:rPr>
      </w:pPr>
      <w:r w:rsidRPr="008123DF">
        <w:rPr>
          <w:noProof/>
          <w:sz w:val="22"/>
          <w:szCs w:val="22"/>
          <w:lang w:eastAsia="fr-FR"/>
        </w:rPr>
        <w:t>7</w:t>
      </w:r>
      <w:r w:rsidR="006726B0" w:rsidRPr="008123DF">
        <w:rPr>
          <w:noProof/>
          <w:sz w:val="22"/>
          <w:szCs w:val="22"/>
          <w:lang w:eastAsia="fr-FR"/>
        </w:rPr>
        <w:t>. Pour quelles catégories des patients les gliflozines est-il le plus souvent prescrit ?</w:t>
      </w:r>
    </w:p>
    <w:p w14:paraId="296E646E" w14:textId="6A734B89" w:rsidR="006726B0" w:rsidRPr="008123DF" w:rsidRDefault="00D01BE3" w:rsidP="008123DF">
      <w:pPr>
        <w:pBdr>
          <w:top w:val="single" w:sz="4" w:space="1" w:color="auto"/>
          <w:left w:val="single" w:sz="4" w:space="1" w:color="auto"/>
          <w:bottom w:val="single" w:sz="4" w:space="0" w:color="auto"/>
          <w:right w:val="single" w:sz="4" w:space="1" w:color="auto"/>
        </w:pBdr>
        <w:jc w:val="both"/>
        <w:rPr>
          <w:noProof/>
          <w:sz w:val="22"/>
          <w:szCs w:val="22"/>
          <w:lang w:eastAsia="fr-FR"/>
        </w:rPr>
      </w:pPr>
      <w:r w:rsidRPr="008123DF">
        <w:rPr>
          <w:noProof/>
          <w:sz w:val="22"/>
          <w:szCs w:val="22"/>
          <w:lang w:eastAsia="fr-FR"/>
        </w:rPr>
        <w:t>8</w:t>
      </w:r>
      <w:r w:rsidR="006726B0" w:rsidRPr="008123DF">
        <w:rPr>
          <w:noProof/>
          <w:sz w:val="22"/>
          <w:szCs w:val="22"/>
          <w:lang w:eastAsia="fr-FR"/>
        </w:rPr>
        <w:t>. Pouvez-vous décrire le mécanisme d'action des inhibiteurs du SGLT2 ?</w:t>
      </w:r>
    </w:p>
    <w:p w14:paraId="6F1DBB3E" w14:textId="1AAF3F7C" w:rsidR="006726B0" w:rsidRPr="008123DF" w:rsidRDefault="00D01BE3" w:rsidP="008123DF">
      <w:pPr>
        <w:pBdr>
          <w:top w:val="single" w:sz="4" w:space="1" w:color="auto"/>
          <w:left w:val="single" w:sz="4" w:space="1" w:color="auto"/>
          <w:bottom w:val="single" w:sz="4" w:space="0" w:color="auto"/>
          <w:right w:val="single" w:sz="4" w:space="1" w:color="auto"/>
        </w:pBdr>
        <w:jc w:val="both"/>
        <w:rPr>
          <w:noProof/>
          <w:sz w:val="22"/>
          <w:szCs w:val="22"/>
          <w:lang w:eastAsia="fr-FR"/>
        </w:rPr>
      </w:pPr>
      <w:r w:rsidRPr="008123DF">
        <w:rPr>
          <w:noProof/>
          <w:sz w:val="22"/>
          <w:szCs w:val="22"/>
          <w:lang w:eastAsia="fr-FR"/>
        </w:rPr>
        <w:t>9</w:t>
      </w:r>
      <w:r w:rsidR="006726B0" w:rsidRPr="008123DF">
        <w:rPr>
          <w:noProof/>
          <w:sz w:val="22"/>
          <w:szCs w:val="22"/>
          <w:lang w:eastAsia="fr-FR"/>
        </w:rPr>
        <w:t>. Quel est l'effet indésirable le plus fréquent de cette classe thérapeutique ?</w:t>
      </w:r>
    </w:p>
    <w:p w14:paraId="62A52B1D" w14:textId="6B15F2B6" w:rsidR="006726B0" w:rsidRPr="008123DF" w:rsidRDefault="00D01BE3" w:rsidP="008123DF">
      <w:pPr>
        <w:pBdr>
          <w:top w:val="single" w:sz="4" w:space="1" w:color="auto"/>
          <w:left w:val="single" w:sz="4" w:space="1" w:color="auto"/>
          <w:bottom w:val="single" w:sz="4" w:space="0" w:color="auto"/>
          <w:right w:val="single" w:sz="4" w:space="1" w:color="auto"/>
        </w:pBdr>
        <w:jc w:val="both"/>
        <w:rPr>
          <w:noProof/>
          <w:sz w:val="22"/>
          <w:szCs w:val="22"/>
          <w:lang w:eastAsia="fr-FR"/>
        </w:rPr>
      </w:pPr>
      <w:r w:rsidRPr="008123DF">
        <w:rPr>
          <w:noProof/>
          <w:sz w:val="22"/>
          <w:szCs w:val="22"/>
          <w:lang w:eastAsia="fr-FR"/>
        </w:rPr>
        <w:t>10</w:t>
      </w:r>
      <w:r w:rsidR="006726B0" w:rsidRPr="008123DF">
        <w:rPr>
          <w:noProof/>
          <w:sz w:val="22"/>
          <w:szCs w:val="22"/>
          <w:lang w:eastAsia="fr-FR"/>
        </w:rPr>
        <w:t>. Quel est l'effet de gliflozines sur le poids corporel ?</w:t>
      </w:r>
    </w:p>
    <w:p w14:paraId="2CE52740" w14:textId="34993F8B" w:rsidR="00B219BD" w:rsidRPr="008123DF" w:rsidRDefault="00B219BD"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1</w:t>
      </w:r>
      <w:r w:rsidR="00D01BE3" w:rsidRPr="008123DF">
        <w:rPr>
          <w:sz w:val="22"/>
          <w:szCs w:val="22"/>
        </w:rPr>
        <w:t>1</w:t>
      </w:r>
      <w:r w:rsidRPr="008123DF">
        <w:rPr>
          <w:sz w:val="22"/>
          <w:szCs w:val="22"/>
        </w:rPr>
        <w:t>. Quelle est la principale contre-indication des inhibiteurs SGLT2 ?</w:t>
      </w:r>
    </w:p>
    <w:p w14:paraId="6E1F975E" w14:textId="65CBCFC0" w:rsidR="00B219BD" w:rsidRPr="008123DF" w:rsidRDefault="00B219BD"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1</w:t>
      </w:r>
      <w:r w:rsidR="00D01BE3" w:rsidRPr="008123DF">
        <w:rPr>
          <w:sz w:val="22"/>
          <w:szCs w:val="22"/>
        </w:rPr>
        <w:t>2</w:t>
      </w:r>
      <w:r w:rsidRPr="008123DF">
        <w:rPr>
          <w:sz w:val="22"/>
          <w:szCs w:val="22"/>
        </w:rPr>
        <w:t>. Quels sont les avantages des inhibiteurs SGLT2 par rapports les autres antidiabétiques ?</w:t>
      </w:r>
    </w:p>
    <w:p w14:paraId="4CFED82D" w14:textId="2DBB02E9" w:rsidR="00B219BD"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13</w:t>
      </w:r>
      <w:r w:rsidR="00B219BD" w:rsidRPr="008123DF">
        <w:rPr>
          <w:sz w:val="22"/>
          <w:szCs w:val="22"/>
        </w:rPr>
        <w:t>. Quelles sont les autres indications des inhibiteurs SGLT2 ?</w:t>
      </w:r>
    </w:p>
    <w:p w14:paraId="305E06C1" w14:textId="77777777" w:rsidR="00B219BD" w:rsidRPr="008123DF" w:rsidRDefault="00B219BD" w:rsidP="008123DF">
      <w:pPr>
        <w:pBdr>
          <w:top w:val="single" w:sz="4" w:space="1" w:color="auto"/>
          <w:left w:val="single" w:sz="4" w:space="1" w:color="auto"/>
          <w:bottom w:val="single" w:sz="4" w:space="0" w:color="auto"/>
          <w:right w:val="single" w:sz="4" w:space="1" w:color="auto"/>
        </w:pBdr>
        <w:jc w:val="both"/>
        <w:rPr>
          <w:sz w:val="22"/>
          <w:szCs w:val="22"/>
        </w:rPr>
      </w:pPr>
    </w:p>
    <w:p w14:paraId="67B806E5" w14:textId="77777777" w:rsidR="00B219BD" w:rsidRPr="008123DF" w:rsidRDefault="00B219BD" w:rsidP="008123DF">
      <w:pPr>
        <w:pBdr>
          <w:top w:val="single" w:sz="4" w:space="1" w:color="auto"/>
          <w:left w:val="single" w:sz="4" w:space="1" w:color="auto"/>
          <w:bottom w:val="single" w:sz="4" w:space="0" w:color="auto"/>
          <w:right w:val="single" w:sz="4" w:space="1" w:color="auto"/>
        </w:pBdr>
        <w:jc w:val="both"/>
        <w:rPr>
          <w:b/>
          <w:bCs/>
          <w:sz w:val="22"/>
          <w:szCs w:val="22"/>
        </w:rPr>
      </w:pPr>
      <w:r w:rsidRPr="008123DF">
        <w:rPr>
          <w:b/>
          <w:bCs/>
          <w:sz w:val="22"/>
          <w:szCs w:val="22"/>
        </w:rPr>
        <w:t xml:space="preserve">Partie 3 : Pratiques et Perceptions des Pharmaciens d’Officine à propos des Inhibiteurs </w:t>
      </w:r>
    </w:p>
    <w:p w14:paraId="19ED6326" w14:textId="65274AF1" w:rsidR="00B219BD" w:rsidRPr="008123DF" w:rsidRDefault="00B219BD" w:rsidP="008123DF">
      <w:pPr>
        <w:pBdr>
          <w:top w:val="single" w:sz="4" w:space="1" w:color="auto"/>
          <w:left w:val="single" w:sz="4" w:space="1" w:color="auto"/>
          <w:bottom w:val="single" w:sz="4" w:space="0" w:color="auto"/>
          <w:right w:val="single" w:sz="4" w:space="1" w:color="auto"/>
        </w:pBdr>
        <w:jc w:val="both"/>
        <w:rPr>
          <w:b/>
          <w:bCs/>
          <w:sz w:val="22"/>
          <w:szCs w:val="22"/>
        </w:rPr>
      </w:pPr>
      <w:proofErr w:type="gramStart"/>
      <w:r w:rsidRPr="008123DF">
        <w:rPr>
          <w:b/>
          <w:bCs/>
          <w:sz w:val="22"/>
          <w:szCs w:val="22"/>
        </w:rPr>
        <w:t>du</w:t>
      </w:r>
      <w:proofErr w:type="gramEnd"/>
      <w:r w:rsidRPr="008123DF">
        <w:rPr>
          <w:b/>
          <w:bCs/>
          <w:sz w:val="22"/>
          <w:szCs w:val="22"/>
        </w:rPr>
        <w:t xml:space="preserve"> SGLT2 (</w:t>
      </w:r>
      <w:r w:rsidR="00D01BE3" w:rsidRPr="008123DF">
        <w:rPr>
          <w:b/>
          <w:bCs/>
          <w:sz w:val="22"/>
          <w:szCs w:val="22"/>
        </w:rPr>
        <w:t>6</w:t>
      </w:r>
      <w:r w:rsidRPr="008123DF">
        <w:rPr>
          <w:b/>
          <w:bCs/>
          <w:sz w:val="22"/>
          <w:szCs w:val="22"/>
        </w:rPr>
        <w:t xml:space="preserve"> questions) </w:t>
      </w:r>
    </w:p>
    <w:p w14:paraId="4301681F" w14:textId="17C248F7" w:rsidR="00B219BD"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14</w:t>
      </w:r>
      <w:r w:rsidR="00B219BD" w:rsidRPr="008123DF">
        <w:rPr>
          <w:sz w:val="22"/>
          <w:szCs w:val="22"/>
        </w:rPr>
        <w:t>. Quelle est votre perception concernant les inhibiteurs du SGLT2 ?</w:t>
      </w:r>
    </w:p>
    <w:p w14:paraId="28043365" w14:textId="77777777" w:rsidR="00B219BD" w:rsidRPr="008123DF" w:rsidRDefault="00B219BD"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Ils n’ont aucun avantage par rapport les autres antidiabétiques </w:t>
      </w:r>
    </w:p>
    <w:p w14:paraId="44348421" w14:textId="77777777" w:rsidR="00B219BD" w:rsidRPr="008123DF" w:rsidRDefault="00B219BD"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Ils ont un avantage modeste par rapport les autres antidiabétiques </w:t>
      </w:r>
    </w:p>
    <w:p w14:paraId="2DBDC90C" w14:textId="77777777" w:rsidR="00B219BD" w:rsidRPr="008123DF" w:rsidRDefault="00B219BD"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Ils sont très efficaces et bénéfiques chez une catégorie des patients </w:t>
      </w:r>
    </w:p>
    <w:p w14:paraId="64D689C7" w14:textId="77777777" w:rsidR="00B219BD" w:rsidRPr="008123DF" w:rsidRDefault="00B219BD"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Ce sont des molécules chères sans aucun bénéfice pour le patient </w:t>
      </w:r>
    </w:p>
    <w:p w14:paraId="173B6B57" w14:textId="092ABD97" w:rsidR="00B219BD"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15</w:t>
      </w:r>
      <w:r w:rsidR="00B219BD" w:rsidRPr="008123DF">
        <w:rPr>
          <w:sz w:val="22"/>
          <w:szCs w:val="22"/>
        </w:rPr>
        <w:t>.Comment évaluez-vous les retours et les avis des patients prenants les inhibiteurs SGLT2 ?</w:t>
      </w:r>
    </w:p>
    <w:p w14:paraId="5D91B1E2" w14:textId="77777777" w:rsidR="00B219BD" w:rsidRPr="008123DF" w:rsidRDefault="00B219BD"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Bien </w:t>
      </w:r>
    </w:p>
    <w:p w14:paraId="39621DAB" w14:textId="77777777" w:rsidR="00B219BD" w:rsidRPr="008123DF" w:rsidRDefault="00B219BD"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très bien</w:t>
      </w:r>
    </w:p>
    <w:p w14:paraId="0418F88D" w14:textId="77777777" w:rsidR="00B219BD" w:rsidRPr="008123DF" w:rsidRDefault="00B219BD"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excellent </w:t>
      </w:r>
    </w:p>
    <w:p w14:paraId="4D03DB04" w14:textId="77777777" w:rsidR="00B219BD" w:rsidRPr="008123DF" w:rsidRDefault="00B219BD"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mauvais retours </w:t>
      </w:r>
    </w:p>
    <w:p w14:paraId="27F5FF39" w14:textId="7B8F5C07" w:rsidR="00B219BD"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16</w:t>
      </w:r>
      <w:r w:rsidR="00B219BD" w:rsidRPr="008123DF">
        <w:rPr>
          <w:sz w:val="22"/>
          <w:szCs w:val="22"/>
        </w:rPr>
        <w:t>. Quels sont les principaux obstacles auxquels vous faites face lors de la dispensation des</w:t>
      </w:r>
    </w:p>
    <w:p w14:paraId="3F9F706E" w14:textId="234CEE39" w:rsidR="006726B0" w:rsidRPr="008123DF" w:rsidRDefault="00B219BD" w:rsidP="008123DF">
      <w:pPr>
        <w:pBdr>
          <w:top w:val="single" w:sz="4" w:space="1" w:color="auto"/>
          <w:left w:val="single" w:sz="4" w:space="1" w:color="auto"/>
          <w:bottom w:val="single" w:sz="4" w:space="0" w:color="auto"/>
          <w:right w:val="single" w:sz="4" w:space="1" w:color="auto"/>
        </w:pBdr>
        <w:jc w:val="both"/>
        <w:rPr>
          <w:sz w:val="22"/>
          <w:szCs w:val="22"/>
        </w:rPr>
      </w:pPr>
      <w:proofErr w:type="gramStart"/>
      <w:r w:rsidRPr="008123DF">
        <w:rPr>
          <w:sz w:val="22"/>
          <w:szCs w:val="22"/>
        </w:rPr>
        <w:t>inhibiteurs</w:t>
      </w:r>
      <w:proofErr w:type="gramEnd"/>
      <w:r w:rsidRPr="008123DF">
        <w:rPr>
          <w:sz w:val="22"/>
          <w:szCs w:val="22"/>
        </w:rPr>
        <w:t xml:space="preserve"> SGLT2 ?</w:t>
      </w:r>
    </w:p>
    <w:p w14:paraId="6FF3B609"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Les patients ont des informations erronées concernant ces médicaments </w:t>
      </w:r>
    </w:p>
    <w:p w14:paraId="739B6317"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Je n’ai pas des connaissances suffisantes pour répondre à des questions des patients</w:t>
      </w:r>
    </w:p>
    <w:p w14:paraId="2B3551E2"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Les patients se plaignent du prix élevé des médicaments et qu’ils ne sont pas </w:t>
      </w:r>
    </w:p>
    <w:p w14:paraId="37930D90"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proofErr w:type="gramStart"/>
      <w:r w:rsidRPr="008123DF">
        <w:rPr>
          <w:sz w:val="22"/>
          <w:szCs w:val="22"/>
        </w:rPr>
        <w:t>remboursables</w:t>
      </w:r>
      <w:proofErr w:type="gramEnd"/>
      <w:r w:rsidRPr="008123DF">
        <w:rPr>
          <w:sz w:val="22"/>
          <w:szCs w:val="22"/>
        </w:rPr>
        <w:t xml:space="preserve"> par le système d’assurance maladie obligatoire (CNSS et CNOPS)</w:t>
      </w:r>
    </w:p>
    <w:p w14:paraId="1F7C2B93"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je n’ai aucun obstacle</w:t>
      </w:r>
    </w:p>
    <w:p w14:paraId="79A06D35" w14:textId="6FFD473C"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17. Comment évaluez-vous vos connaissances sur ces médicaments ?</w:t>
      </w:r>
    </w:p>
    <w:p w14:paraId="1A8A7D0C"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Excellente</w:t>
      </w:r>
    </w:p>
    <w:p w14:paraId="4DEBF353"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Très bien</w:t>
      </w:r>
    </w:p>
    <w:p w14:paraId="6FE2994E"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Bien</w:t>
      </w:r>
    </w:p>
    <w:p w14:paraId="63204397"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Faible </w:t>
      </w:r>
    </w:p>
    <w:p w14:paraId="67CDD43D" w14:textId="3C2C97D8"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18.Comment percevez-vous la nécessité de participer à des formations concernant ces </w:t>
      </w:r>
    </w:p>
    <w:p w14:paraId="5E5426F0"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proofErr w:type="gramStart"/>
      <w:r w:rsidRPr="008123DF">
        <w:rPr>
          <w:sz w:val="22"/>
          <w:szCs w:val="22"/>
        </w:rPr>
        <w:t>médicaments</w:t>
      </w:r>
      <w:proofErr w:type="gramEnd"/>
      <w:r w:rsidRPr="008123DF">
        <w:rPr>
          <w:sz w:val="22"/>
          <w:szCs w:val="22"/>
        </w:rPr>
        <w:t xml:space="preserve"> ?</w:t>
      </w:r>
    </w:p>
    <w:p w14:paraId="5D66ABEA"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Besoin élevé</w:t>
      </w:r>
    </w:p>
    <w:p w14:paraId="46DE0AF8"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Besoin modéré</w:t>
      </w:r>
    </w:p>
    <w:p w14:paraId="4F57B990"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Je n'ai pas besoin car les </w:t>
      </w:r>
      <w:proofErr w:type="spellStart"/>
      <w:r w:rsidRPr="008123DF">
        <w:rPr>
          <w:sz w:val="22"/>
          <w:szCs w:val="22"/>
        </w:rPr>
        <w:t>gliflozines</w:t>
      </w:r>
      <w:proofErr w:type="spellEnd"/>
      <w:r w:rsidRPr="008123DF">
        <w:rPr>
          <w:sz w:val="22"/>
          <w:szCs w:val="22"/>
        </w:rPr>
        <w:t xml:space="preserve"> sont rarement utilisés.</w:t>
      </w:r>
    </w:p>
    <w:p w14:paraId="7376B19C" w14:textId="13075F0E"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19. Quelles sont les sources que vous utilisez pour obtenir des informations sur ces </w:t>
      </w:r>
    </w:p>
    <w:p w14:paraId="2B88A7E2"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proofErr w:type="gramStart"/>
      <w:r w:rsidRPr="008123DF">
        <w:rPr>
          <w:sz w:val="22"/>
          <w:szCs w:val="22"/>
        </w:rPr>
        <w:t>médicaments</w:t>
      </w:r>
      <w:proofErr w:type="gramEnd"/>
      <w:r w:rsidRPr="008123DF">
        <w:rPr>
          <w:sz w:val="22"/>
          <w:szCs w:val="22"/>
        </w:rPr>
        <w:t xml:space="preserve"> ?</w:t>
      </w:r>
    </w:p>
    <w:p w14:paraId="349D4678"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Les sites web médicaux et pharmaceutiques</w:t>
      </w:r>
    </w:p>
    <w:p w14:paraId="10A53A5F"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Les revues médicales</w:t>
      </w:r>
    </w:p>
    <w:p w14:paraId="2DBCFAA5" w14:textId="77777777" w:rsidR="00D01BE3"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Les délègues pharmaceutiques </w:t>
      </w:r>
    </w:p>
    <w:p w14:paraId="37490A07" w14:textId="45E86542" w:rsidR="00370604" w:rsidRPr="008123DF" w:rsidRDefault="00D01BE3" w:rsidP="008123DF">
      <w:pPr>
        <w:pBdr>
          <w:top w:val="single" w:sz="4" w:space="1" w:color="auto"/>
          <w:left w:val="single" w:sz="4" w:space="1" w:color="auto"/>
          <w:bottom w:val="single" w:sz="4" w:space="0" w:color="auto"/>
          <w:right w:val="single" w:sz="4" w:space="1" w:color="auto"/>
        </w:pBdr>
        <w:jc w:val="both"/>
        <w:rPr>
          <w:sz w:val="22"/>
          <w:szCs w:val="22"/>
        </w:rPr>
      </w:pPr>
      <w:r w:rsidRPr="008123DF">
        <w:rPr>
          <w:sz w:val="22"/>
          <w:szCs w:val="22"/>
        </w:rPr>
        <w:t xml:space="preserve"> - Des formations universitaires payantes</w:t>
      </w:r>
    </w:p>
    <w:p w14:paraId="081281F1" w14:textId="77777777" w:rsidR="009E31FA" w:rsidRPr="00CF48A1" w:rsidRDefault="009E31FA" w:rsidP="00370604">
      <w:pPr>
        <w:jc w:val="both"/>
      </w:pPr>
    </w:p>
    <w:p w14:paraId="1B6245C3" w14:textId="3C8C7137" w:rsidR="00C1308B" w:rsidRPr="00CF48A1" w:rsidRDefault="00C1308B" w:rsidP="00940DA5">
      <w:pPr>
        <w:pStyle w:val="Paragraphedeliste"/>
        <w:numPr>
          <w:ilvl w:val="0"/>
          <w:numId w:val="10"/>
        </w:numPr>
        <w:jc w:val="both"/>
        <w:rPr>
          <w:b/>
          <w:bCs/>
        </w:rPr>
      </w:pPr>
      <w:r w:rsidRPr="00CF48A1">
        <w:rPr>
          <w:b/>
          <w:bCs/>
        </w:rPr>
        <w:lastRenderedPageBreak/>
        <w:t>BIBLIOGRAPHIE</w:t>
      </w:r>
    </w:p>
    <w:p w14:paraId="241B08EE" w14:textId="77777777" w:rsidR="00C1308B" w:rsidRPr="00CF48A1" w:rsidRDefault="00C1308B" w:rsidP="00C1308B">
      <w:pPr>
        <w:jc w:val="both"/>
      </w:pPr>
    </w:p>
    <w:p w14:paraId="649A5757" w14:textId="77777777" w:rsidR="007B0E79" w:rsidRPr="00CF48A1" w:rsidRDefault="00C1308B" w:rsidP="007B0E79">
      <w:pPr>
        <w:spacing w:after="160" w:line="259" w:lineRule="auto"/>
        <w:ind w:left="360"/>
      </w:pPr>
      <w:r w:rsidRPr="00CF48A1">
        <w:t>1.</w:t>
      </w:r>
      <w:r w:rsidR="007B0E79" w:rsidRPr="00CF48A1">
        <w:t xml:space="preserve">Mohamed Ali </w:t>
      </w:r>
      <w:proofErr w:type="spellStart"/>
      <w:r w:rsidR="007B0E79" w:rsidRPr="00CF48A1">
        <w:t>Mrabi</w:t>
      </w:r>
      <w:proofErr w:type="spellEnd"/>
      <w:proofErr w:type="gramStart"/>
      <w:r w:rsidR="007B0E79" w:rsidRPr="00CF48A1">
        <w:t xml:space="preserve"> «Diabète</w:t>
      </w:r>
      <w:proofErr w:type="gramEnd"/>
      <w:r w:rsidR="007B0E79" w:rsidRPr="00CF48A1">
        <w:t>: Un inquiétant tableau de bord » . L’Economiste Edition N</w:t>
      </w:r>
      <w:proofErr w:type="gramStart"/>
      <w:r w:rsidR="007B0E79" w:rsidRPr="00CF48A1">
        <w:t>°:</w:t>
      </w:r>
      <w:proofErr w:type="gramEnd"/>
      <w:r w:rsidR="007B0E79" w:rsidRPr="00CF48A1">
        <w:t xml:space="preserve">4746 du 07/04/16 page 27-28. </w:t>
      </w:r>
    </w:p>
    <w:p w14:paraId="3C326A0D" w14:textId="23E889DB" w:rsidR="00C1308B" w:rsidRPr="00CF48A1" w:rsidRDefault="007B0E79" w:rsidP="007B0E79">
      <w:pPr>
        <w:spacing w:after="160" w:line="259" w:lineRule="auto"/>
        <w:ind w:left="360"/>
      </w:pPr>
      <w:r w:rsidRPr="00CF48A1">
        <w:t xml:space="preserve">2. Le ministre de la Santé Pr AIT </w:t>
      </w:r>
      <w:proofErr w:type="spellStart"/>
      <w:r w:rsidRPr="00CF48A1">
        <w:t>talebi</w:t>
      </w:r>
      <w:proofErr w:type="spellEnd"/>
      <w:r w:rsidRPr="00CF48A1">
        <w:t xml:space="preserve"> lors de la célébration de la Journée mondiale du diabète, le 14 novembre 2018.</w:t>
      </w:r>
    </w:p>
    <w:p w14:paraId="644B1B18" w14:textId="0BE03AFE" w:rsidR="00C1308B" w:rsidRPr="00CF48A1" w:rsidRDefault="007B0E79" w:rsidP="007B0E79">
      <w:pPr>
        <w:spacing w:after="160" w:line="259" w:lineRule="auto"/>
        <w:ind w:left="360"/>
      </w:pPr>
      <w:r w:rsidRPr="00CF48A1">
        <w:t xml:space="preserve">3. Darmon P, </w:t>
      </w:r>
      <w:proofErr w:type="spellStart"/>
      <w:r w:rsidRPr="00CF48A1">
        <w:t>Bauduceau</w:t>
      </w:r>
      <w:proofErr w:type="spellEnd"/>
      <w:r w:rsidRPr="00CF48A1">
        <w:t xml:space="preserve"> B, Bordier L, </w:t>
      </w:r>
      <w:proofErr w:type="spellStart"/>
      <w:r w:rsidRPr="00CF48A1">
        <w:t>Detournay</w:t>
      </w:r>
      <w:proofErr w:type="spellEnd"/>
      <w:r w:rsidRPr="00CF48A1">
        <w:t xml:space="preserve"> B, </w:t>
      </w:r>
      <w:proofErr w:type="spellStart"/>
      <w:r w:rsidRPr="00CF48A1">
        <w:t>Gourdy</w:t>
      </w:r>
      <w:proofErr w:type="spellEnd"/>
      <w:r w:rsidRPr="00CF48A1">
        <w:t xml:space="preserve"> P, </w:t>
      </w:r>
      <w:proofErr w:type="spellStart"/>
      <w:r w:rsidRPr="00CF48A1">
        <w:t>Guerci</w:t>
      </w:r>
      <w:proofErr w:type="spellEnd"/>
      <w:r w:rsidRPr="00CF48A1">
        <w:t xml:space="preserve"> B, et al. Prise de position de la Société Francophone du Diabète (SFD) sur les stratégies d’utilisation des traitements anti-hyperglycémiants dans le diabète de type 2 – 2021. Médecine Mal Métaboliques. </w:t>
      </w:r>
      <w:proofErr w:type="spellStart"/>
      <w:proofErr w:type="gramStart"/>
      <w:r w:rsidRPr="00CF48A1">
        <w:t>déc</w:t>
      </w:r>
      <w:proofErr w:type="spellEnd"/>
      <w:proofErr w:type="gramEnd"/>
      <w:r w:rsidRPr="00CF48A1">
        <w:t xml:space="preserve"> 2021;15(8):781-801.</w:t>
      </w:r>
    </w:p>
    <w:p w14:paraId="0E6D6726" w14:textId="2BF87B11" w:rsidR="00C1308B" w:rsidRPr="00CF48A1" w:rsidRDefault="007B0E79" w:rsidP="00C1308B">
      <w:pPr>
        <w:spacing w:after="160" w:line="259" w:lineRule="auto"/>
        <w:ind w:left="360"/>
        <w:rPr>
          <w:lang w:val="en-US"/>
        </w:rPr>
      </w:pPr>
      <w:r w:rsidRPr="00CF48A1">
        <w:t>4</w:t>
      </w:r>
      <w:r w:rsidR="00C1308B" w:rsidRPr="00CF48A1">
        <w:t xml:space="preserve">. Machado M, </w:t>
      </w:r>
      <w:proofErr w:type="spellStart"/>
      <w:proofErr w:type="gramStart"/>
      <w:r w:rsidR="00C1308B" w:rsidRPr="00CF48A1">
        <w:t>Bajcar</w:t>
      </w:r>
      <w:proofErr w:type="spellEnd"/>
      <w:r w:rsidR="00C1308B" w:rsidRPr="00CF48A1">
        <w:t xml:space="preserve"> ,</w:t>
      </w:r>
      <w:proofErr w:type="gramEnd"/>
      <w:r w:rsidR="00C1308B" w:rsidRPr="00CF48A1">
        <w:t xml:space="preserve"> J </w:t>
      </w:r>
      <w:proofErr w:type="spellStart"/>
      <w:r w:rsidR="00C1308B" w:rsidRPr="00CF48A1">
        <w:t>Guzzo</w:t>
      </w:r>
      <w:proofErr w:type="spellEnd"/>
      <w:r w:rsidR="00C1308B" w:rsidRPr="00CF48A1">
        <w:t xml:space="preserve"> GC, </w:t>
      </w:r>
      <w:proofErr w:type="spellStart"/>
      <w:r w:rsidR="00C1308B" w:rsidRPr="00CF48A1">
        <w:t>Einarson</w:t>
      </w:r>
      <w:proofErr w:type="spellEnd"/>
      <w:r w:rsidR="00C1308B" w:rsidRPr="00CF48A1">
        <w:t xml:space="preserve"> TR. </w:t>
      </w:r>
      <w:r w:rsidR="00C1308B" w:rsidRPr="00CF48A1">
        <w:rPr>
          <w:lang w:val="en-US"/>
        </w:rPr>
        <w:t xml:space="preserve">Sensitivity of patient outcomes to pharmacist interventions. Part I: systematic review and meta-analysis in diabetes management. Ann Pharmacother2007;41: 1569–82. </w:t>
      </w:r>
      <w:proofErr w:type="spellStart"/>
      <w:r w:rsidR="00C1308B" w:rsidRPr="00CF48A1">
        <w:rPr>
          <w:lang w:val="en-US"/>
        </w:rPr>
        <w:t>Epub</w:t>
      </w:r>
      <w:proofErr w:type="spellEnd"/>
      <w:r w:rsidR="00C1308B" w:rsidRPr="00CF48A1">
        <w:rPr>
          <w:lang w:val="en-US"/>
        </w:rPr>
        <w:t xml:space="preserve"> 21 Aug 2007.</w:t>
      </w:r>
    </w:p>
    <w:p w14:paraId="61751427" w14:textId="77777777" w:rsidR="00CF48A1" w:rsidRPr="00023A56" w:rsidRDefault="00CF48A1" w:rsidP="00CF48A1">
      <w:pPr>
        <w:spacing w:after="160" w:line="259" w:lineRule="auto"/>
        <w:ind w:left="360"/>
        <w:rPr>
          <w:lang w:val="en-US"/>
        </w:rPr>
      </w:pPr>
      <w:r>
        <w:rPr>
          <w:lang w:val="en-US"/>
        </w:rPr>
        <w:t>5</w:t>
      </w:r>
      <w:r w:rsidRPr="00023A56">
        <w:rPr>
          <w:lang w:val="en-US"/>
        </w:rPr>
        <w:t xml:space="preserve">. Alqudah A, </w:t>
      </w:r>
      <w:proofErr w:type="spellStart"/>
      <w:r w:rsidRPr="00023A56">
        <w:rPr>
          <w:lang w:val="en-US"/>
        </w:rPr>
        <w:t>Oqal</w:t>
      </w:r>
      <w:proofErr w:type="spellEnd"/>
      <w:r w:rsidRPr="00023A56">
        <w:rPr>
          <w:lang w:val="en-US"/>
        </w:rPr>
        <w:t xml:space="preserve"> M, Al-</w:t>
      </w:r>
      <w:proofErr w:type="spellStart"/>
      <w:r w:rsidRPr="00023A56">
        <w:rPr>
          <w:lang w:val="en-US"/>
        </w:rPr>
        <w:t>Samdi</w:t>
      </w:r>
      <w:proofErr w:type="spellEnd"/>
      <w:r w:rsidRPr="00023A56">
        <w:rPr>
          <w:lang w:val="en-US"/>
        </w:rPr>
        <w:t xml:space="preserve"> A, </w:t>
      </w:r>
      <w:proofErr w:type="spellStart"/>
      <w:r w:rsidRPr="00023A56">
        <w:rPr>
          <w:lang w:val="en-US"/>
        </w:rPr>
        <w:t>Qnais</w:t>
      </w:r>
      <w:proofErr w:type="spellEnd"/>
      <w:r w:rsidRPr="00023A56">
        <w:rPr>
          <w:lang w:val="en-US"/>
        </w:rPr>
        <w:t xml:space="preserve"> E, </w:t>
      </w:r>
      <w:proofErr w:type="spellStart"/>
      <w:r w:rsidRPr="00023A56">
        <w:rPr>
          <w:lang w:val="en-US"/>
        </w:rPr>
        <w:t>Wedyan</w:t>
      </w:r>
      <w:proofErr w:type="spellEnd"/>
      <w:r w:rsidRPr="00023A56">
        <w:rPr>
          <w:lang w:val="en-US"/>
        </w:rPr>
        <w:t xml:space="preserve"> M, Abu </w:t>
      </w:r>
      <w:proofErr w:type="spellStart"/>
      <w:r w:rsidRPr="00023A56">
        <w:rPr>
          <w:lang w:val="en-US"/>
        </w:rPr>
        <w:t>Gneam</w:t>
      </w:r>
      <w:proofErr w:type="spellEnd"/>
      <w:r w:rsidRPr="00023A56">
        <w:rPr>
          <w:lang w:val="en-US"/>
        </w:rPr>
        <w:t xml:space="preserve"> M, et al. Knowledge and practice of community pharmacists towards SGLT2 inhibitors. F1000Research. 15 juin</w:t>
      </w:r>
      <w:proofErr w:type="gramStart"/>
      <w:r w:rsidRPr="00023A56">
        <w:rPr>
          <w:lang w:val="en-US"/>
        </w:rPr>
        <w:t>2022;11:659</w:t>
      </w:r>
      <w:proofErr w:type="gramEnd"/>
      <w:r w:rsidRPr="00023A56">
        <w:rPr>
          <w:lang w:val="en-US"/>
        </w:rPr>
        <w:t xml:space="preserve">. </w:t>
      </w:r>
    </w:p>
    <w:p w14:paraId="639316C0" w14:textId="77777777" w:rsidR="00CF48A1" w:rsidRPr="00023A56" w:rsidRDefault="00CF48A1" w:rsidP="00CF48A1">
      <w:pPr>
        <w:spacing w:after="160" w:line="259" w:lineRule="auto"/>
        <w:ind w:left="360"/>
      </w:pPr>
      <w:r>
        <w:rPr>
          <w:lang w:val="en-US"/>
        </w:rPr>
        <w:t>6</w:t>
      </w:r>
      <w:r w:rsidRPr="00023A56">
        <w:rPr>
          <w:lang w:val="en-US"/>
        </w:rPr>
        <w:t xml:space="preserve">. </w:t>
      </w:r>
      <w:proofErr w:type="spellStart"/>
      <w:r w:rsidRPr="00023A56">
        <w:rPr>
          <w:lang w:val="en-US"/>
        </w:rPr>
        <w:t>Abahussain</w:t>
      </w:r>
      <w:proofErr w:type="spellEnd"/>
      <w:r w:rsidRPr="00023A56">
        <w:rPr>
          <w:lang w:val="en-US"/>
        </w:rPr>
        <w:t xml:space="preserve"> NA, </w:t>
      </w:r>
      <w:proofErr w:type="spellStart"/>
      <w:r w:rsidRPr="00023A56">
        <w:rPr>
          <w:lang w:val="en-US"/>
        </w:rPr>
        <w:t>Abahussain</w:t>
      </w:r>
      <w:proofErr w:type="spellEnd"/>
      <w:r w:rsidRPr="00023A56">
        <w:rPr>
          <w:lang w:val="en-US"/>
        </w:rPr>
        <w:t xml:space="preserve"> EA, Al-Oumi FM. Pharmacists attitudes and awareness towards the use and safety of herbs in Kuwait. </w:t>
      </w:r>
      <w:proofErr w:type="spellStart"/>
      <w:r w:rsidRPr="00023A56">
        <w:t>PharmPract</w:t>
      </w:r>
      <w:proofErr w:type="spellEnd"/>
      <w:r w:rsidRPr="00023A56">
        <w:t xml:space="preserve"> Internet [Internet]. </w:t>
      </w:r>
      <w:proofErr w:type="gramStart"/>
      <w:r w:rsidRPr="00023A56">
        <w:t>sept</w:t>
      </w:r>
      <w:proofErr w:type="gramEnd"/>
      <w:r w:rsidRPr="00023A56">
        <w:t xml:space="preserve"> 2007 [cité 19 </w:t>
      </w:r>
      <w:proofErr w:type="spellStart"/>
      <w:r w:rsidRPr="00023A56">
        <w:t>déc</w:t>
      </w:r>
      <w:proofErr w:type="spellEnd"/>
      <w:r w:rsidRPr="00023A56">
        <w:t xml:space="preserve"> 2023];5(3). Disponible </w:t>
      </w:r>
      <w:proofErr w:type="gramStart"/>
      <w:r w:rsidRPr="00023A56">
        <w:t>sur:</w:t>
      </w:r>
      <w:proofErr w:type="gramEnd"/>
      <w:r w:rsidRPr="00023A56">
        <w:t xml:space="preserve"> http://scielo.isciii.es/scielo.php?script=sci_abstract&amp;pid=S1885- 642X2007000300005&amp;lng=</w:t>
      </w:r>
      <w:proofErr w:type="spellStart"/>
      <w:r w:rsidRPr="00023A56">
        <w:t>es&amp;nrm</w:t>
      </w:r>
      <w:proofErr w:type="spellEnd"/>
      <w:r w:rsidRPr="00023A56">
        <w:t>=</w:t>
      </w:r>
      <w:proofErr w:type="spellStart"/>
      <w:r w:rsidRPr="00023A56">
        <w:t>iso&amp;tlng</w:t>
      </w:r>
      <w:proofErr w:type="spellEnd"/>
      <w:r w:rsidRPr="00023A56">
        <w:t xml:space="preserve">=en </w:t>
      </w:r>
    </w:p>
    <w:p w14:paraId="1CDCA3E3" w14:textId="77777777" w:rsidR="00CF48A1" w:rsidRPr="00023A56" w:rsidRDefault="00CF48A1" w:rsidP="00CF48A1">
      <w:pPr>
        <w:spacing w:after="160" w:line="259" w:lineRule="auto"/>
        <w:ind w:left="360"/>
        <w:rPr>
          <w:lang w:val="en-US"/>
        </w:rPr>
      </w:pPr>
      <w:r>
        <w:rPr>
          <w:lang w:val="en-US"/>
        </w:rPr>
        <w:t>7</w:t>
      </w:r>
      <w:r w:rsidRPr="00023A56">
        <w:rPr>
          <w:lang w:val="en-US"/>
        </w:rPr>
        <w:t xml:space="preserve">. Della Polla G, </w:t>
      </w:r>
      <w:proofErr w:type="spellStart"/>
      <w:r w:rsidRPr="00023A56">
        <w:rPr>
          <w:lang w:val="en-US"/>
        </w:rPr>
        <w:t>Pelullo</w:t>
      </w:r>
      <w:proofErr w:type="spellEnd"/>
      <w:r w:rsidRPr="00023A56">
        <w:rPr>
          <w:lang w:val="en-US"/>
        </w:rPr>
        <w:t xml:space="preserve"> CP, Napolitano F, Lambiase C, De Simone C, Angelillo IF. Knowledge, Attitudes, and Practices towards Infectious Diseases Related to Travel of Community Pharmacists in Italy. Int J Environ Res Public Health. 24 mars 2020;17(6):2147.</w:t>
      </w:r>
    </w:p>
    <w:p w14:paraId="5787F0AA" w14:textId="77777777" w:rsidR="00CF48A1" w:rsidRPr="00023A56" w:rsidRDefault="00CF48A1" w:rsidP="00CF48A1">
      <w:pPr>
        <w:spacing w:after="160" w:line="259" w:lineRule="auto"/>
        <w:ind w:left="360"/>
        <w:rPr>
          <w:lang w:val="en-US"/>
        </w:rPr>
      </w:pPr>
      <w:r>
        <w:rPr>
          <w:lang w:val="en-US"/>
        </w:rPr>
        <w:t>8</w:t>
      </w:r>
      <w:r w:rsidRPr="00023A56">
        <w:rPr>
          <w:lang w:val="en-US"/>
        </w:rPr>
        <w:t>. Collins C, Limone BL, Scholle JM, Coleman CI. Effect of pharmacist intervention on glycemic control in diabetes. Diab Res Clin Pract2011:92:145-52.</w:t>
      </w:r>
    </w:p>
    <w:p w14:paraId="15288240" w14:textId="77777777" w:rsidR="00CF48A1" w:rsidRPr="00023A56" w:rsidRDefault="00CF48A1" w:rsidP="00CF48A1">
      <w:pPr>
        <w:spacing w:after="160" w:line="259" w:lineRule="auto"/>
        <w:ind w:left="360"/>
        <w:rPr>
          <w:lang w:val="en-US"/>
        </w:rPr>
      </w:pPr>
      <w:r>
        <w:rPr>
          <w:lang w:val="en-US"/>
        </w:rPr>
        <w:t>9</w:t>
      </w:r>
      <w:r w:rsidRPr="00023A56">
        <w:rPr>
          <w:lang w:val="en-US"/>
        </w:rPr>
        <w:t xml:space="preserve">. Ansari M: Evaluation of community pharmacies regarding dispensing practices of antibiotics in two districts of central Nepal. </w:t>
      </w:r>
      <w:proofErr w:type="spellStart"/>
      <w:r w:rsidRPr="00023A56">
        <w:rPr>
          <w:lang w:val="en-US"/>
        </w:rPr>
        <w:t>PLoS</w:t>
      </w:r>
      <w:proofErr w:type="spellEnd"/>
      <w:r w:rsidRPr="00023A56">
        <w:rPr>
          <w:lang w:val="en-US"/>
        </w:rPr>
        <w:t xml:space="preserve"> One. 2017; 12: e0183907. </w:t>
      </w:r>
    </w:p>
    <w:p w14:paraId="4E199895" w14:textId="77777777" w:rsidR="00CF48A1" w:rsidRPr="00023A56" w:rsidRDefault="00CF48A1" w:rsidP="00CF48A1">
      <w:pPr>
        <w:spacing w:after="160" w:line="259" w:lineRule="auto"/>
        <w:ind w:left="360"/>
        <w:rPr>
          <w:lang w:val="en-US"/>
        </w:rPr>
      </w:pPr>
      <w:r>
        <w:rPr>
          <w:lang w:val="en-US"/>
        </w:rPr>
        <w:t>10</w:t>
      </w:r>
      <w:r w:rsidRPr="00023A56">
        <w:rPr>
          <w:lang w:val="en-US"/>
        </w:rPr>
        <w:t>. Bagher AM, et al.: Knowledge, perception, and confidence of hospital pharmacists toward pharmacogenetics in Jeddah, Kingdom of Saudi Arabia. Saudi Pharm. J. 2021; 29: 53–58.</w:t>
      </w:r>
    </w:p>
    <w:p w14:paraId="46FF62F8" w14:textId="77777777" w:rsidR="00CF48A1" w:rsidRPr="00023A56" w:rsidRDefault="00CF48A1" w:rsidP="00CF48A1">
      <w:pPr>
        <w:spacing w:after="160" w:line="259" w:lineRule="auto"/>
        <w:ind w:left="360"/>
        <w:rPr>
          <w:lang w:val="en-US"/>
        </w:rPr>
      </w:pPr>
      <w:r>
        <w:rPr>
          <w:lang w:val="en-US"/>
        </w:rPr>
        <w:t>11</w:t>
      </w:r>
      <w:r w:rsidRPr="00023A56">
        <w:rPr>
          <w:lang w:val="en-US"/>
        </w:rPr>
        <w:t xml:space="preserve">. Moorman K.L., MacDonald E.A., Trovato A., Tak C.R. Assessment and use of drug information references in Utah pharmacies. Pharm. </w:t>
      </w:r>
      <w:proofErr w:type="spellStart"/>
      <w:r w:rsidRPr="00023A56">
        <w:rPr>
          <w:lang w:val="en-US"/>
        </w:rPr>
        <w:t>Pract</w:t>
      </w:r>
      <w:proofErr w:type="spellEnd"/>
      <w:r w:rsidRPr="00023A56">
        <w:rPr>
          <w:lang w:val="en-US"/>
        </w:rPr>
        <w:t xml:space="preserve">. 2017;15(1):839. </w:t>
      </w:r>
    </w:p>
    <w:p w14:paraId="4E84B1F0" w14:textId="77777777" w:rsidR="00CF48A1" w:rsidRPr="00023A56" w:rsidRDefault="00CF48A1" w:rsidP="00CF48A1">
      <w:pPr>
        <w:spacing w:after="160" w:line="259" w:lineRule="auto"/>
        <w:ind w:left="360"/>
        <w:rPr>
          <w:lang w:val="en-US"/>
        </w:rPr>
      </w:pPr>
      <w:r>
        <w:rPr>
          <w:lang w:val="en-US"/>
        </w:rPr>
        <w:t>12</w:t>
      </w:r>
      <w:r w:rsidRPr="00023A56">
        <w:rPr>
          <w:lang w:val="en-US"/>
        </w:rPr>
        <w:t xml:space="preserve">. </w:t>
      </w:r>
      <w:proofErr w:type="spellStart"/>
      <w:r w:rsidRPr="00023A56">
        <w:rPr>
          <w:lang w:val="en-US"/>
        </w:rPr>
        <w:t>Chitme</w:t>
      </w:r>
      <w:proofErr w:type="spellEnd"/>
      <w:r w:rsidRPr="00023A56">
        <w:rPr>
          <w:lang w:val="en-US"/>
        </w:rPr>
        <w:t xml:space="preserve"> H.R., Farsi S., Harbi H. Information resources available at community pharmacies in Oman. Int. J. Pharm. Sci. Res..2014;5:2320–2329. </w:t>
      </w:r>
    </w:p>
    <w:p w14:paraId="53AB28F7" w14:textId="77777777" w:rsidR="00CF48A1" w:rsidRPr="00023A56" w:rsidRDefault="00CF48A1" w:rsidP="00CF48A1">
      <w:pPr>
        <w:spacing w:after="160" w:line="259" w:lineRule="auto"/>
        <w:ind w:left="360"/>
        <w:rPr>
          <w:lang w:val="en-US"/>
        </w:rPr>
      </w:pPr>
      <w:r>
        <w:rPr>
          <w:lang w:val="en-US"/>
        </w:rPr>
        <w:t>13</w:t>
      </w:r>
      <w:r w:rsidRPr="00023A56">
        <w:rPr>
          <w:lang w:val="en-US"/>
        </w:rPr>
        <w:t>. Khan TM, Emeka P, Khan AH. Drug Information Activity and Nonprescription Requests Over the Malaysian Counter. Therapeutic Innovation &amp;Regulatory Science. 2013 Mar;47(2):198-202.</w:t>
      </w:r>
    </w:p>
    <w:p w14:paraId="684F7155" w14:textId="77777777" w:rsidR="00CF48A1" w:rsidRPr="00023A56" w:rsidRDefault="00CF48A1" w:rsidP="00CF48A1">
      <w:pPr>
        <w:spacing w:after="160" w:line="259" w:lineRule="auto"/>
        <w:ind w:left="360"/>
        <w:rPr>
          <w:lang w:val="en-US"/>
        </w:rPr>
      </w:pPr>
      <w:r>
        <w:rPr>
          <w:lang w:val="en-US"/>
        </w:rPr>
        <w:lastRenderedPageBreak/>
        <w:t>14</w:t>
      </w:r>
      <w:r w:rsidRPr="00023A56">
        <w:rPr>
          <w:lang w:val="en-US"/>
        </w:rPr>
        <w:t xml:space="preserve">. Spurling GK, Mansfield PR, Montgomery BD, </w:t>
      </w:r>
      <w:proofErr w:type="spellStart"/>
      <w:r w:rsidRPr="00023A56">
        <w:rPr>
          <w:lang w:val="en-US"/>
        </w:rPr>
        <w:t>Lexchin</w:t>
      </w:r>
      <w:proofErr w:type="spellEnd"/>
      <w:r w:rsidRPr="00023A56">
        <w:rPr>
          <w:lang w:val="en-US"/>
        </w:rPr>
        <w:t xml:space="preserve"> J, Doust J, Othman N, et al. Information from pharmaceutical companies and the quality, quantity, and cost of physicians’ </w:t>
      </w:r>
      <w:proofErr w:type="gramStart"/>
      <w:r w:rsidRPr="00023A56">
        <w:rPr>
          <w:lang w:val="en-US"/>
        </w:rPr>
        <w:t>prescribing :</w:t>
      </w:r>
      <w:proofErr w:type="gramEnd"/>
      <w:r w:rsidRPr="00023A56">
        <w:rPr>
          <w:lang w:val="en-US"/>
        </w:rPr>
        <w:t xml:space="preserve"> a systematic review. </w:t>
      </w:r>
      <w:proofErr w:type="spellStart"/>
      <w:r w:rsidRPr="00023A56">
        <w:rPr>
          <w:lang w:val="en-US"/>
        </w:rPr>
        <w:t>PLoS</w:t>
      </w:r>
      <w:proofErr w:type="spellEnd"/>
      <w:r w:rsidRPr="00023A56">
        <w:rPr>
          <w:lang w:val="en-US"/>
        </w:rPr>
        <w:t xml:space="preserve"> Med. 2010 ;</w:t>
      </w:r>
      <w:proofErr w:type="gramStart"/>
      <w:r w:rsidRPr="00023A56">
        <w:rPr>
          <w:lang w:val="en-US"/>
        </w:rPr>
        <w:t>7 :e</w:t>
      </w:r>
      <w:proofErr w:type="gramEnd"/>
      <w:r w:rsidRPr="00023A56">
        <w:rPr>
          <w:lang w:val="en-US"/>
        </w:rPr>
        <w:t xml:space="preserve">1000352. </w:t>
      </w:r>
    </w:p>
    <w:p w14:paraId="4ABBAF68" w14:textId="77777777" w:rsidR="00CF48A1" w:rsidRPr="00023A56" w:rsidRDefault="00CF48A1" w:rsidP="00CF48A1">
      <w:pPr>
        <w:spacing w:after="160" w:line="259" w:lineRule="auto"/>
        <w:ind w:left="360"/>
        <w:rPr>
          <w:lang w:val="en-US"/>
        </w:rPr>
      </w:pPr>
      <w:r>
        <w:rPr>
          <w:lang w:val="en-US"/>
        </w:rPr>
        <w:t>15</w:t>
      </w:r>
      <w:r w:rsidRPr="00023A56">
        <w:rPr>
          <w:lang w:val="en-US"/>
        </w:rPr>
        <w:t xml:space="preserve">. Luo J, Feldman R, Rothenberger SD, et al.: Coverage, Formulary Restrictions, and </w:t>
      </w:r>
      <w:proofErr w:type="spellStart"/>
      <w:r w:rsidRPr="00023A56">
        <w:rPr>
          <w:lang w:val="en-US"/>
        </w:rPr>
        <w:t>Outof</w:t>
      </w:r>
      <w:proofErr w:type="spellEnd"/>
      <w:r w:rsidRPr="00023A56">
        <w:rPr>
          <w:lang w:val="en-US"/>
        </w:rPr>
        <w:t xml:space="preserve">-Pocket Costs for Sodium-Glucose Cotransporter 2 Inhibitors and Glucagon-Like Peptide 1 Receptor Agonists in the Medicare Part D Program. JAMA </w:t>
      </w:r>
      <w:proofErr w:type="spellStart"/>
      <w:r w:rsidRPr="00023A56">
        <w:rPr>
          <w:lang w:val="en-US"/>
        </w:rPr>
        <w:t>Netw</w:t>
      </w:r>
      <w:proofErr w:type="spellEnd"/>
      <w:r w:rsidRPr="00023A56">
        <w:rPr>
          <w:lang w:val="en-US"/>
        </w:rPr>
        <w:t>. Open. 2020; 3: e2020969.</w:t>
      </w:r>
    </w:p>
    <w:p w14:paraId="1D450758" w14:textId="77777777" w:rsidR="00CF48A1" w:rsidRPr="00023A56" w:rsidRDefault="00CF48A1" w:rsidP="00CF48A1">
      <w:pPr>
        <w:spacing w:after="160" w:line="259" w:lineRule="auto"/>
        <w:ind w:left="360"/>
        <w:rPr>
          <w:lang w:val="en-US"/>
        </w:rPr>
      </w:pPr>
      <w:r>
        <w:rPr>
          <w:lang w:val="en-US"/>
        </w:rPr>
        <w:t>16</w:t>
      </w:r>
      <w:r w:rsidRPr="00023A56">
        <w:rPr>
          <w:lang w:val="en-US"/>
        </w:rPr>
        <w:t xml:space="preserve">. </w:t>
      </w:r>
      <w:proofErr w:type="spellStart"/>
      <w:r w:rsidRPr="00023A56">
        <w:rPr>
          <w:lang w:val="en-US"/>
        </w:rPr>
        <w:t>Erku</w:t>
      </w:r>
      <w:proofErr w:type="spellEnd"/>
      <w:r w:rsidRPr="00023A56">
        <w:rPr>
          <w:lang w:val="en-US"/>
        </w:rPr>
        <w:t xml:space="preserve"> D.A., Ayele A.A., Mekuria A.B., Belachew S.A., </w:t>
      </w:r>
      <w:proofErr w:type="spellStart"/>
      <w:r w:rsidRPr="00023A56">
        <w:rPr>
          <w:lang w:val="en-US"/>
        </w:rPr>
        <w:t>Hailemeskel</w:t>
      </w:r>
      <w:proofErr w:type="spellEnd"/>
      <w:r w:rsidRPr="00023A56">
        <w:rPr>
          <w:lang w:val="en-US"/>
        </w:rPr>
        <w:t xml:space="preserve"> B., Tegegn H.G. The Impact of Pharmacist-Led Medication Therapy Management on Medication Adherence in Patients with Type 2 Diabetes Mellitus: A Randomized Controlled Study. Pharm. </w:t>
      </w:r>
      <w:proofErr w:type="spellStart"/>
      <w:r w:rsidRPr="00023A56">
        <w:rPr>
          <w:lang w:val="en-US"/>
        </w:rPr>
        <w:t>Pract</w:t>
      </w:r>
      <w:proofErr w:type="spellEnd"/>
      <w:r w:rsidRPr="00023A56">
        <w:rPr>
          <w:lang w:val="en-US"/>
        </w:rPr>
        <w:t xml:space="preserve">. </w:t>
      </w:r>
      <w:proofErr w:type="gramStart"/>
      <w:r w:rsidRPr="00023A56">
        <w:rPr>
          <w:lang w:val="en-US"/>
        </w:rPr>
        <w:t>2017;15:1026</w:t>
      </w:r>
      <w:proofErr w:type="gramEnd"/>
      <w:r w:rsidRPr="00023A56">
        <w:rPr>
          <w:lang w:val="en-US"/>
        </w:rPr>
        <w:t xml:space="preserve">. </w:t>
      </w:r>
    </w:p>
    <w:p w14:paraId="7C377748" w14:textId="77777777" w:rsidR="00CF48A1" w:rsidRPr="00023A56" w:rsidRDefault="00CF48A1" w:rsidP="00CF48A1">
      <w:pPr>
        <w:spacing w:after="160" w:line="259" w:lineRule="auto"/>
        <w:ind w:left="360"/>
        <w:rPr>
          <w:lang w:val="en-US"/>
        </w:rPr>
      </w:pPr>
      <w:r>
        <w:rPr>
          <w:lang w:val="en-US"/>
        </w:rPr>
        <w:t>17</w:t>
      </w:r>
      <w:r w:rsidRPr="00023A56">
        <w:rPr>
          <w:lang w:val="en-US"/>
        </w:rPr>
        <w:t xml:space="preserve">. 19 Schultz B.G., Tilton J., Jun J., Scott-Horton T., Quach D., Touchette D.R. </w:t>
      </w:r>
      <w:proofErr w:type="spellStart"/>
      <w:r w:rsidRPr="00023A56">
        <w:rPr>
          <w:lang w:val="en-US"/>
        </w:rPr>
        <w:t>CostEffectiveness</w:t>
      </w:r>
      <w:proofErr w:type="spellEnd"/>
      <w:r w:rsidRPr="00023A56">
        <w:rPr>
          <w:lang w:val="en-US"/>
        </w:rPr>
        <w:t xml:space="preserve"> Analysis of a Pharmacist-Led Medication Therapy Management Program: Hypertension Management. Value Health. </w:t>
      </w:r>
      <w:proofErr w:type="gramStart"/>
      <w:r w:rsidRPr="00023A56">
        <w:rPr>
          <w:lang w:val="en-US"/>
        </w:rPr>
        <w:t>2021;24:522</w:t>
      </w:r>
      <w:proofErr w:type="gramEnd"/>
      <w:r w:rsidRPr="00023A56">
        <w:rPr>
          <w:lang w:val="en-US"/>
        </w:rPr>
        <w:t>–529.</w:t>
      </w:r>
    </w:p>
    <w:p w14:paraId="60F0050A" w14:textId="50135A69" w:rsidR="00876DB6" w:rsidRPr="00876DB6" w:rsidRDefault="00876DB6" w:rsidP="00876DB6">
      <w:pPr>
        <w:spacing w:after="160" w:line="259" w:lineRule="auto"/>
        <w:ind w:left="360"/>
        <w:rPr>
          <w:lang w:val="en-US"/>
        </w:rPr>
      </w:pPr>
    </w:p>
    <w:sectPr w:rsidR="00876DB6" w:rsidRPr="00876DB6" w:rsidSect="00C74B11">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34E86" w14:textId="77777777" w:rsidR="004C6742" w:rsidRDefault="004C6742" w:rsidP="00F970E1">
      <w:r>
        <w:separator/>
      </w:r>
    </w:p>
  </w:endnote>
  <w:endnote w:type="continuationSeparator" w:id="0">
    <w:p w14:paraId="5764E4D1" w14:textId="77777777" w:rsidR="004C6742" w:rsidRDefault="004C6742" w:rsidP="00F9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069297"/>
      <w:docPartObj>
        <w:docPartGallery w:val="Page Numbers (Bottom of Page)"/>
        <w:docPartUnique/>
      </w:docPartObj>
    </w:sdtPr>
    <w:sdtContent>
      <w:p w14:paraId="47168A5B" w14:textId="61560198" w:rsidR="0074026C" w:rsidRDefault="00F33D38">
        <w:pPr>
          <w:pStyle w:val="Pieddepage"/>
          <w:jc w:val="right"/>
        </w:pPr>
        <w:r>
          <w:fldChar w:fldCharType="begin"/>
        </w:r>
        <w:r>
          <w:instrText xml:space="preserve"> PAGE   \* MERGEFORMAT </w:instrText>
        </w:r>
        <w:r>
          <w:fldChar w:fldCharType="separate"/>
        </w:r>
        <w:r>
          <w:rPr>
            <w:noProof/>
          </w:rPr>
          <w:t>25</w:t>
        </w:r>
        <w:r>
          <w:rPr>
            <w:noProof/>
          </w:rPr>
          <w:fldChar w:fldCharType="end"/>
        </w:r>
        <w:r w:rsidR="0074026C">
          <w:t>/</w:t>
        </w:r>
        <w:r w:rsidR="00592681">
          <w:t>2</w:t>
        </w:r>
        <w:r w:rsidR="001B6C25">
          <w:t>4</w:t>
        </w:r>
      </w:p>
    </w:sdtContent>
  </w:sdt>
  <w:p w14:paraId="46C6ACAF" w14:textId="77777777" w:rsidR="000C3E20" w:rsidRDefault="000C3E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9711C" w14:textId="77777777" w:rsidR="004C6742" w:rsidRDefault="004C6742" w:rsidP="00F970E1">
      <w:r>
        <w:separator/>
      </w:r>
    </w:p>
  </w:footnote>
  <w:footnote w:type="continuationSeparator" w:id="0">
    <w:p w14:paraId="7438E9CC" w14:textId="77777777" w:rsidR="004C6742" w:rsidRDefault="004C6742" w:rsidP="00F9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6EAC"/>
    <w:multiLevelType w:val="hybridMultilevel"/>
    <w:tmpl w:val="6D20F03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D713CE"/>
    <w:multiLevelType w:val="hybridMultilevel"/>
    <w:tmpl w:val="B13A7390"/>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11F6365D"/>
    <w:multiLevelType w:val="hybridMultilevel"/>
    <w:tmpl w:val="8C786CB2"/>
    <w:lvl w:ilvl="0" w:tplc="9DD0D8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9124B4"/>
    <w:multiLevelType w:val="hybridMultilevel"/>
    <w:tmpl w:val="720C99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920724"/>
    <w:multiLevelType w:val="hybridMultilevel"/>
    <w:tmpl w:val="3E3017A4"/>
    <w:lvl w:ilvl="0" w:tplc="4AC040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06210E"/>
    <w:multiLevelType w:val="hybridMultilevel"/>
    <w:tmpl w:val="8564ED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196D98"/>
    <w:multiLevelType w:val="hybridMultilevel"/>
    <w:tmpl w:val="20C6D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4D783C"/>
    <w:multiLevelType w:val="multilevel"/>
    <w:tmpl w:val="9C44618A"/>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3602A4"/>
    <w:multiLevelType w:val="hybridMultilevel"/>
    <w:tmpl w:val="7CB80378"/>
    <w:lvl w:ilvl="0" w:tplc="5A2CC3A8">
      <w:start w:val="1"/>
      <w:numFmt w:val="upperRoman"/>
      <w:lvlText w:val="%1)"/>
      <w:lvlJc w:val="left"/>
      <w:pPr>
        <w:ind w:left="945" w:hanging="72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9" w15:restartNumberingAfterBreak="0">
    <w:nsid w:val="6F085333"/>
    <w:multiLevelType w:val="hybridMultilevel"/>
    <w:tmpl w:val="731A2E2A"/>
    <w:lvl w:ilvl="0" w:tplc="F74CC282">
      <w:start w:val="48"/>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27222970">
    <w:abstractNumId w:val="2"/>
  </w:num>
  <w:num w:numId="2" w16cid:durableId="567425460">
    <w:abstractNumId w:val="7"/>
  </w:num>
  <w:num w:numId="3" w16cid:durableId="1185022883">
    <w:abstractNumId w:val="8"/>
  </w:num>
  <w:num w:numId="4" w16cid:durableId="588735648">
    <w:abstractNumId w:val="9"/>
  </w:num>
  <w:num w:numId="5" w16cid:durableId="425031565">
    <w:abstractNumId w:val="1"/>
  </w:num>
  <w:num w:numId="6" w16cid:durableId="652030651">
    <w:abstractNumId w:val="6"/>
  </w:num>
  <w:num w:numId="7" w16cid:durableId="1476028410">
    <w:abstractNumId w:val="4"/>
  </w:num>
  <w:num w:numId="8" w16cid:durableId="1959290587">
    <w:abstractNumId w:val="3"/>
  </w:num>
  <w:num w:numId="9" w16cid:durableId="844982637">
    <w:abstractNumId w:val="5"/>
  </w:num>
  <w:num w:numId="10" w16cid:durableId="199402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2051"/>
    <w:rsid w:val="000003A9"/>
    <w:rsid w:val="00006734"/>
    <w:rsid w:val="00007A47"/>
    <w:rsid w:val="00023A56"/>
    <w:rsid w:val="0003027E"/>
    <w:rsid w:val="00054647"/>
    <w:rsid w:val="000574BB"/>
    <w:rsid w:val="00062476"/>
    <w:rsid w:val="000647AD"/>
    <w:rsid w:val="000802CB"/>
    <w:rsid w:val="000964EF"/>
    <w:rsid w:val="000A39A8"/>
    <w:rsid w:val="000C39AE"/>
    <w:rsid w:val="000C3E20"/>
    <w:rsid w:val="000D004D"/>
    <w:rsid w:val="000E61DA"/>
    <w:rsid w:val="000F60A4"/>
    <w:rsid w:val="0010048C"/>
    <w:rsid w:val="00103C95"/>
    <w:rsid w:val="00105EE0"/>
    <w:rsid w:val="00111CEE"/>
    <w:rsid w:val="00136949"/>
    <w:rsid w:val="00144F2C"/>
    <w:rsid w:val="001517D2"/>
    <w:rsid w:val="00152209"/>
    <w:rsid w:val="001556E1"/>
    <w:rsid w:val="00161B04"/>
    <w:rsid w:val="00161FB3"/>
    <w:rsid w:val="00165F0E"/>
    <w:rsid w:val="001736A9"/>
    <w:rsid w:val="001866CB"/>
    <w:rsid w:val="001924C0"/>
    <w:rsid w:val="001927C4"/>
    <w:rsid w:val="00194457"/>
    <w:rsid w:val="00195D0C"/>
    <w:rsid w:val="001978E9"/>
    <w:rsid w:val="001B1C91"/>
    <w:rsid w:val="001B6C25"/>
    <w:rsid w:val="001D1B4B"/>
    <w:rsid w:val="001D51EA"/>
    <w:rsid w:val="001E1ECB"/>
    <w:rsid w:val="001F0F38"/>
    <w:rsid w:val="001F1B52"/>
    <w:rsid w:val="00207CA0"/>
    <w:rsid w:val="00216C54"/>
    <w:rsid w:val="00221C99"/>
    <w:rsid w:val="00222388"/>
    <w:rsid w:val="00232F9B"/>
    <w:rsid w:val="00265EBB"/>
    <w:rsid w:val="00267FC1"/>
    <w:rsid w:val="00270B65"/>
    <w:rsid w:val="00287694"/>
    <w:rsid w:val="00290C04"/>
    <w:rsid w:val="00295170"/>
    <w:rsid w:val="002B470A"/>
    <w:rsid w:val="002C3267"/>
    <w:rsid w:val="002C7514"/>
    <w:rsid w:val="002D2895"/>
    <w:rsid w:val="00307F9E"/>
    <w:rsid w:val="00313512"/>
    <w:rsid w:val="00327805"/>
    <w:rsid w:val="00341F09"/>
    <w:rsid w:val="003658AD"/>
    <w:rsid w:val="003667D7"/>
    <w:rsid w:val="00370604"/>
    <w:rsid w:val="00371585"/>
    <w:rsid w:val="00376240"/>
    <w:rsid w:val="0037774B"/>
    <w:rsid w:val="00380F80"/>
    <w:rsid w:val="003910C6"/>
    <w:rsid w:val="00397031"/>
    <w:rsid w:val="003A08DE"/>
    <w:rsid w:val="003A4EA1"/>
    <w:rsid w:val="003A6A52"/>
    <w:rsid w:val="003B003A"/>
    <w:rsid w:val="003B5BE0"/>
    <w:rsid w:val="003C72D5"/>
    <w:rsid w:val="003C771C"/>
    <w:rsid w:val="003D2304"/>
    <w:rsid w:val="003D26F8"/>
    <w:rsid w:val="003D5C4E"/>
    <w:rsid w:val="003E2A1B"/>
    <w:rsid w:val="003F05E9"/>
    <w:rsid w:val="00406D77"/>
    <w:rsid w:val="0043755C"/>
    <w:rsid w:val="00450648"/>
    <w:rsid w:val="00455B90"/>
    <w:rsid w:val="004579BB"/>
    <w:rsid w:val="0047111D"/>
    <w:rsid w:val="00475DC3"/>
    <w:rsid w:val="00483B07"/>
    <w:rsid w:val="00485D2A"/>
    <w:rsid w:val="00493DA3"/>
    <w:rsid w:val="0049525F"/>
    <w:rsid w:val="004A26D9"/>
    <w:rsid w:val="004C6742"/>
    <w:rsid w:val="004F3203"/>
    <w:rsid w:val="004F70CD"/>
    <w:rsid w:val="00504153"/>
    <w:rsid w:val="00507BCB"/>
    <w:rsid w:val="0051016F"/>
    <w:rsid w:val="00521120"/>
    <w:rsid w:val="00526BAE"/>
    <w:rsid w:val="00540800"/>
    <w:rsid w:val="00540CE9"/>
    <w:rsid w:val="00553D0B"/>
    <w:rsid w:val="00554661"/>
    <w:rsid w:val="00561413"/>
    <w:rsid w:val="005655CB"/>
    <w:rsid w:val="00581715"/>
    <w:rsid w:val="00587835"/>
    <w:rsid w:val="00587ED9"/>
    <w:rsid w:val="00590756"/>
    <w:rsid w:val="005920AA"/>
    <w:rsid w:val="0059218A"/>
    <w:rsid w:val="00592681"/>
    <w:rsid w:val="005A36D4"/>
    <w:rsid w:val="005B4C0F"/>
    <w:rsid w:val="005C23DA"/>
    <w:rsid w:val="005C32AA"/>
    <w:rsid w:val="005D7B14"/>
    <w:rsid w:val="005F57FC"/>
    <w:rsid w:val="0060257F"/>
    <w:rsid w:val="0060562B"/>
    <w:rsid w:val="0060631A"/>
    <w:rsid w:val="00610615"/>
    <w:rsid w:val="00626F71"/>
    <w:rsid w:val="00631BBC"/>
    <w:rsid w:val="0063789A"/>
    <w:rsid w:val="006378DF"/>
    <w:rsid w:val="006465E8"/>
    <w:rsid w:val="006559C0"/>
    <w:rsid w:val="00662CD7"/>
    <w:rsid w:val="00664F6C"/>
    <w:rsid w:val="006708A9"/>
    <w:rsid w:val="006726B0"/>
    <w:rsid w:val="0068192E"/>
    <w:rsid w:val="0068471F"/>
    <w:rsid w:val="00695542"/>
    <w:rsid w:val="006B034D"/>
    <w:rsid w:val="006B10EF"/>
    <w:rsid w:val="006B14F1"/>
    <w:rsid w:val="006B74EC"/>
    <w:rsid w:val="006D2558"/>
    <w:rsid w:val="006F7C9B"/>
    <w:rsid w:val="007016F0"/>
    <w:rsid w:val="00704797"/>
    <w:rsid w:val="007110E3"/>
    <w:rsid w:val="00716F4E"/>
    <w:rsid w:val="00717BAB"/>
    <w:rsid w:val="007346BE"/>
    <w:rsid w:val="0074026C"/>
    <w:rsid w:val="00746C37"/>
    <w:rsid w:val="00755DBE"/>
    <w:rsid w:val="00756378"/>
    <w:rsid w:val="00763EDE"/>
    <w:rsid w:val="00764F5E"/>
    <w:rsid w:val="00771215"/>
    <w:rsid w:val="00771325"/>
    <w:rsid w:val="00772D3A"/>
    <w:rsid w:val="00776C18"/>
    <w:rsid w:val="007816B4"/>
    <w:rsid w:val="0079012D"/>
    <w:rsid w:val="0079590F"/>
    <w:rsid w:val="007A1E92"/>
    <w:rsid w:val="007A71F0"/>
    <w:rsid w:val="007B0E79"/>
    <w:rsid w:val="007D1377"/>
    <w:rsid w:val="007D421A"/>
    <w:rsid w:val="007E7D1A"/>
    <w:rsid w:val="00806BDF"/>
    <w:rsid w:val="008123DF"/>
    <w:rsid w:val="0082625D"/>
    <w:rsid w:val="00832E84"/>
    <w:rsid w:val="00857A4B"/>
    <w:rsid w:val="00873A3E"/>
    <w:rsid w:val="00876DB6"/>
    <w:rsid w:val="00882051"/>
    <w:rsid w:val="008C06C7"/>
    <w:rsid w:val="008D094E"/>
    <w:rsid w:val="008E62DA"/>
    <w:rsid w:val="008F6AC3"/>
    <w:rsid w:val="00907E20"/>
    <w:rsid w:val="00913F5D"/>
    <w:rsid w:val="0091431F"/>
    <w:rsid w:val="00917A7C"/>
    <w:rsid w:val="00922334"/>
    <w:rsid w:val="00930837"/>
    <w:rsid w:val="00931271"/>
    <w:rsid w:val="0093199D"/>
    <w:rsid w:val="00936E3F"/>
    <w:rsid w:val="00940DA5"/>
    <w:rsid w:val="00947AF2"/>
    <w:rsid w:val="00950C52"/>
    <w:rsid w:val="00950C6C"/>
    <w:rsid w:val="00965BEF"/>
    <w:rsid w:val="00974E78"/>
    <w:rsid w:val="00980379"/>
    <w:rsid w:val="00990FB7"/>
    <w:rsid w:val="00994E6F"/>
    <w:rsid w:val="00997C13"/>
    <w:rsid w:val="009A14D4"/>
    <w:rsid w:val="009A5599"/>
    <w:rsid w:val="009B2931"/>
    <w:rsid w:val="009C397E"/>
    <w:rsid w:val="009D258E"/>
    <w:rsid w:val="009E1643"/>
    <w:rsid w:val="009E31FA"/>
    <w:rsid w:val="009E7270"/>
    <w:rsid w:val="009E7CE6"/>
    <w:rsid w:val="00A03FB0"/>
    <w:rsid w:val="00A053D8"/>
    <w:rsid w:val="00A6277F"/>
    <w:rsid w:val="00A66BB5"/>
    <w:rsid w:val="00A7022B"/>
    <w:rsid w:val="00A834B1"/>
    <w:rsid w:val="00A97DE8"/>
    <w:rsid w:val="00AD0BA4"/>
    <w:rsid w:val="00AE1C31"/>
    <w:rsid w:val="00AE3644"/>
    <w:rsid w:val="00B043AE"/>
    <w:rsid w:val="00B066AF"/>
    <w:rsid w:val="00B10856"/>
    <w:rsid w:val="00B11384"/>
    <w:rsid w:val="00B16026"/>
    <w:rsid w:val="00B21983"/>
    <w:rsid w:val="00B219BD"/>
    <w:rsid w:val="00B238A2"/>
    <w:rsid w:val="00B25EC1"/>
    <w:rsid w:val="00B52A87"/>
    <w:rsid w:val="00B5680F"/>
    <w:rsid w:val="00B65B3D"/>
    <w:rsid w:val="00B71401"/>
    <w:rsid w:val="00B75595"/>
    <w:rsid w:val="00B836B0"/>
    <w:rsid w:val="00B87237"/>
    <w:rsid w:val="00B91F51"/>
    <w:rsid w:val="00B923A4"/>
    <w:rsid w:val="00BA6E1F"/>
    <w:rsid w:val="00BB47E6"/>
    <w:rsid w:val="00BB547C"/>
    <w:rsid w:val="00BB7546"/>
    <w:rsid w:val="00BD091C"/>
    <w:rsid w:val="00BD4347"/>
    <w:rsid w:val="00BF0C67"/>
    <w:rsid w:val="00C0169D"/>
    <w:rsid w:val="00C02018"/>
    <w:rsid w:val="00C029BF"/>
    <w:rsid w:val="00C06A29"/>
    <w:rsid w:val="00C1308B"/>
    <w:rsid w:val="00C25330"/>
    <w:rsid w:val="00C36A98"/>
    <w:rsid w:val="00C54A68"/>
    <w:rsid w:val="00C61753"/>
    <w:rsid w:val="00C64175"/>
    <w:rsid w:val="00C70706"/>
    <w:rsid w:val="00C74B11"/>
    <w:rsid w:val="00C828D9"/>
    <w:rsid w:val="00C87177"/>
    <w:rsid w:val="00C872FF"/>
    <w:rsid w:val="00CC21D5"/>
    <w:rsid w:val="00CC3646"/>
    <w:rsid w:val="00CD6749"/>
    <w:rsid w:val="00CD6865"/>
    <w:rsid w:val="00CE1AB9"/>
    <w:rsid w:val="00CF48A1"/>
    <w:rsid w:val="00CF72E2"/>
    <w:rsid w:val="00CF7725"/>
    <w:rsid w:val="00D01BE3"/>
    <w:rsid w:val="00D15570"/>
    <w:rsid w:val="00D1563A"/>
    <w:rsid w:val="00D35C36"/>
    <w:rsid w:val="00D5703F"/>
    <w:rsid w:val="00D96E5C"/>
    <w:rsid w:val="00DB22CE"/>
    <w:rsid w:val="00DB7BEF"/>
    <w:rsid w:val="00DC036A"/>
    <w:rsid w:val="00DD6807"/>
    <w:rsid w:val="00DE2637"/>
    <w:rsid w:val="00DE3B4F"/>
    <w:rsid w:val="00DE58C3"/>
    <w:rsid w:val="00DF0D21"/>
    <w:rsid w:val="00E04B1E"/>
    <w:rsid w:val="00E170BC"/>
    <w:rsid w:val="00E215EC"/>
    <w:rsid w:val="00E40EC4"/>
    <w:rsid w:val="00E419E7"/>
    <w:rsid w:val="00E473DB"/>
    <w:rsid w:val="00E63517"/>
    <w:rsid w:val="00E65EB1"/>
    <w:rsid w:val="00E70765"/>
    <w:rsid w:val="00E71EBB"/>
    <w:rsid w:val="00E954B0"/>
    <w:rsid w:val="00E96DB1"/>
    <w:rsid w:val="00EA0B73"/>
    <w:rsid w:val="00EB0291"/>
    <w:rsid w:val="00EB7A5D"/>
    <w:rsid w:val="00ED22D5"/>
    <w:rsid w:val="00ED3678"/>
    <w:rsid w:val="00ED708A"/>
    <w:rsid w:val="00EE083C"/>
    <w:rsid w:val="00EF1CDD"/>
    <w:rsid w:val="00EF418F"/>
    <w:rsid w:val="00F04B65"/>
    <w:rsid w:val="00F07809"/>
    <w:rsid w:val="00F07836"/>
    <w:rsid w:val="00F23CBF"/>
    <w:rsid w:val="00F32D57"/>
    <w:rsid w:val="00F33D38"/>
    <w:rsid w:val="00F36154"/>
    <w:rsid w:val="00F466D9"/>
    <w:rsid w:val="00F62287"/>
    <w:rsid w:val="00F6621E"/>
    <w:rsid w:val="00F7494F"/>
    <w:rsid w:val="00F970E1"/>
    <w:rsid w:val="00FB7CAD"/>
    <w:rsid w:val="00FD0B34"/>
    <w:rsid w:val="00FE0C05"/>
    <w:rsid w:val="00FE28A6"/>
    <w:rsid w:val="00FE7F38"/>
    <w:rsid w:val="00FF694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5E5D"/>
  <w15:docId w15:val="{841ABA63-9A33-481A-B8B5-29C67A72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51"/>
    <w:pPr>
      <w:spacing w:after="0" w:line="240" w:lineRule="auto"/>
    </w:pPr>
    <w:rPr>
      <w:rFonts w:ascii="Times New Roman" w:eastAsia="SimSun" w:hAnsi="Times New Roman" w:cs="Times New Roman"/>
      <w:kern w:val="0"/>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2051"/>
    <w:pPr>
      <w:ind w:left="720"/>
      <w:contextualSpacing/>
    </w:pPr>
  </w:style>
  <w:style w:type="paragraph" w:styleId="En-tte">
    <w:name w:val="header"/>
    <w:basedOn w:val="Normal"/>
    <w:link w:val="En-tteCar"/>
    <w:uiPriority w:val="99"/>
    <w:unhideWhenUsed/>
    <w:rsid w:val="00F970E1"/>
    <w:pPr>
      <w:tabs>
        <w:tab w:val="center" w:pos="4536"/>
        <w:tab w:val="right" w:pos="9072"/>
      </w:tabs>
    </w:pPr>
  </w:style>
  <w:style w:type="character" w:customStyle="1" w:styleId="En-tteCar">
    <w:name w:val="En-tête Car"/>
    <w:basedOn w:val="Policepardfaut"/>
    <w:link w:val="En-tte"/>
    <w:uiPriority w:val="99"/>
    <w:rsid w:val="00F970E1"/>
    <w:rPr>
      <w:rFonts w:ascii="Times New Roman" w:eastAsia="SimSun" w:hAnsi="Times New Roman" w:cs="Times New Roman"/>
      <w:kern w:val="0"/>
      <w:sz w:val="24"/>
      <w:szCs w:val="24"/>
      <w:lang w:eastAsia="zh-CN"/>
    </w:rPr>
  </w:style>
  <w:style w:type="paragraph" w:styleId="Pieddepage">
    <w:name w:val="footer"/>
    <w:basedOn w:val="Normal"/>
    <w:link w:val="PieddepageCar"/>
    <w:uiPriority w:val="99"/>
    <w:unhideWhenUsed/>
    <w:rsid w:val="00F970E1"/>
    <w:pPr>
      <w:tabs>
        <w:tab w:val="center" w:pos="4536"/>
        <w:tab w:val="right" w:pos="9072"/>
      </w:tabs>
    </w:pPr>
  </w:style>
  <w:style w:type="character" w:customStyle="1" w:styleId="PieddepageCar">
    <w:name w:val="Pied de page Car"/>
    <w:basedOn w:val="Policepardfaut"/>
    <w:link w:val="Pieddepage"/>
    <w:uiPriority w:val="99"/>
    <w:rsid w:val="00F970E1"/>
    <w:rPr>
      <w:rFonts w:ascii="Times New Roman" w:eastAsia="SimSun" w:hAnsi="Times New Roman" w:cs="Times New Roman"/>
      <w:kern w:val="0"/>
      <w:sz w:val="24"/>
      <w:szCs w:val="24"/>
      <w:lang w:eastAsia="zh-CN"/>
    </w:rPr>
  </w:style>
  <w:style w:type="paragraph" w:styleId="Textedebulles">
    <w:name w:val="Balloon Text"/>
    <w:basedOn w:val="Normal"/>
    <w:link w:val="TextedebullesCar"/>
    <w:uiPriority w:val="99"/>
    <w:semiHidden/>
    <w:unhideWhenUsed/>
    <w:rsid w:val="00907E20"/>
    <w:rPr>
      <w:rFonts w:ascii="Tahoma" w:hAnsi="Tahoma" w:cs="Tahoma"/>
      <w:sz w:val="16"/>
      <w:szCs w:val="16"/>
    </w:rPr>
  </w:style>
  <w:style w:type="character" w:customStyle="1" w:styleId="TextedebullesCar">
    <w:name w:val="Texte de bulles Car"/>
    <w:basedOn w:val="Policepardfaut"/>
    <w:link w:val="Textedebulles"/>
    <w:uiPriority w:val="99"/>
    <w:semiHidden/>
    <w:rsid w:val="00907E20"/>
    <w:rPr>
      <w:rFonts w:ascii="Tahoma" w:eastAsia="SimSun" w:hAnsi="Tahoma" w:cs="Tahoma"/>
      <w:kern w:val="0"/>
      <w:sz w:val="16"/>
      <w:szCs w:val="16"/>
      <w:lang w:eastAsia="zh-CN"/>
    </w:rPr>
  </w:style>
  <w:style w:type="character" w:styleId="Lienhypertexte">
    <w:name w:val="Hyperlink"/>
    <w:basedOn w:val="Policepardfaut"/>
    <w:uiPriority w:val="99"/>
    <w:unhideWhenUsed/>
    <w:rsid w:val="003D26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3152">
      <w:bodyDiv w:val="1"/>
      <w:marLeft w:val="0"/>
      <w:marRight w:val="0"/>
      <w:marTop w:val="0"/>
      <w:marBottom w:val="0"/>
      <w:divBdr>
        <w:top w:val="none" w:sz="0" w:space="0" w:color="auto"/>
        <w:left w:val="none" w:sz="0" w:space="0" w:color="auto"/>
        <w:bottom w:val="none" w:sz="0" w:space="0" w:color="auto"/>
        <w:right w:val="none" w:sz="0" w:space="0" w:color="auto"/>
      </w:divBdr>
    </w:div>
    <w:div w:id="250503741">
      <w:bodyDiv w:val="1"/>
      <w:marLeft w:val="0"/>
      <w:marRight w:val="0"/>
      <w:marTop w:val="0"/>
      <w:marBottom w:val="0"/>
      <w:divBdr>
        <w:top w:val="none" w:sz="0" w:space="0" w:color="auto"/>
        <w:left w:val="none" w:sz="0" w:space="0" w:color="auto"/>
        <w:bottom w:val="none" w:sz="0" w:space="0" w:color="auto"/>
        <w:right w:val="none" w:sz="0" w:space="0" w:color="auto"/>
      </w:divBdr>
    </w:div>
    <w:div w:id="309554103">
      <w:bodyDiv w:val="1"/>
      <w:marLeft w:val="0"/>
      <w:marRight w:val="0"/>
      <w:marTop w:val="0"/>
      <w:marBottom w:val="0"/>
      <w:divBdr>
        <w:top w:val="none" w:sz="0" w:space="0" w:color="auto"/>
        <w:left w:val="none" w:sz="0" w:space="0" w:color="auto"/>
        <w:bottom w:val="none" w:sz="0" w:space="0" w:color="auto"/>
        <w:right w:val="none" w:sz="0" w:space="0" w:color="auto"/>
      </w:divBdr>
    </w:div>
    <w:div w:id="364790410">
      <w:bodyDiv w:val="1"/>
      <w:marLeft w:val="0"/>
      <w:marRight w:val="0"/>
      <w:marTop w:val="0"/>
      <w:marBottom w:val="0"/>
      <w:divBdr>
        <w:top w:val="none" w:sz="0" w:space="0" w:color="auto"/>
        <w:left w:val="none" w:sz="0" w:space="0" w:color="auto"/>
        <w:bottom w:val="none" w:sz="0" w:space="0" w:color="auto"/>
        <w:right w:val="none" w:sz="0" w:space="0" w:color="auto"/>
      </w:divBdr>
    </w:div>
    <w:div w:id="432094794">
      <w:bodyDiv w:val="1"/>
      <w:marLeft w:val="0"/>
      <w:marRight w:val="0"/>
      <w:marTop w:val="0"/>
      <w:marBottom w:val="0"/>
      <w:divBdr>
        <w:top w:val="none" w:sz="0" w:space="0" w:color="auto"/>
        <w:left w:val="none" w:sz="0" w:space="0" w:color="auto"/>
        <w:bottom w:val="none" w:sz="0" w:space="0" w:color="auto"/>
        <w:right w:val="none" w:sz="0" w:space="0" w:color="auto"/>
      </w:divBdr>
    </w:div>
    <w:div w:id="451705036">
      <w:bodyDiv w:val="1"/>
      <w:marLeft w:val="0"/>
      <w:marRight w:val="0"/>
      <w:marTop w:val="0"/>
      <w:marBottom w:val="0"/>
      <w:divBdr>
        <w:top w:val="none" w:sz="0" w:space="0" w:color="auto"/>
        <w:left w:val="none" w:sz="0" w:space="0" w:color="auto"/>
        <w:bottom w:val="none" w:sz="0" w:space="0" w:color="auto"/>
        <w:right w:val="none" w:sz="0" w:space="0" w:color="auto"/>
      </w:divBdr>
    </w:div>
    <w:div w:id="517085650">
      <w:bodyDiv w:val="1"/>
      <w:marLeft w:val="0"/>
      <w:marRight w:val="0"/>
      <w:marTop w:val="0"/>
      <w:marBottom w:val="0"/>
      <w:divBdr>
        <w:top w:val="none" w:sz="0" w:space="0" w:color="auto"/>
        <w:left w:val="none" w:sz="0" w:space="0" w:color="auto"/>
        <w:bottom w:val="none" w:sz="0" w:space="0" w:color="auto"/>
        <w:right w:val="none" w:sz="0" w:space="0" w:color="auto"/>
      </w:divBdr>
    </w:div>
    <w:div w:id="582493499">
      <w:bodyDiv w:val="1"/>
      <w:marLeft w:val="0"/>
      <w:marRight w:val="0"/>
      <w:marTop w:val="0"/>
      <w:marBottom w:val="0"/>
      <w:divBdr>
        <w:top w:val="none" w:sz="0" w:space="0" w:color="auto"/>
        <w:left w:val="none" w:sz="0" w:space="0" w:color="auto"/>
        <w:bottom w:val="none" w:sz="0" w:space="0" w:color="auto"/>
        <w:right w:val="none" w:sz="0" w:space="0" w:color="auto"/>
      </w:divBdr>
    </w:div>
    <w:div w:id="638338514">
      <w:bodyDiv w:val="1"/>
      <w:marLeft w:val="0"/>
      <w:marRight w:val="0"/>
      <w:marTop w:val="0"/>
      <w:marBottom w:val="0"/>
      <w:divBdr>
        <w:top w:val="none" w:sz="0" w:space="0" w:color="auto"/>
        <w:left w:val="none" w:sz="0" w:space="0" w:color="auto"/>
        <w:bottom w:val="none" w:sz="0" w:space="0" w:color="auto"/>
        <w:right w:val="none" w:sz="0" w:space="0" w:color="auto"/>
      </w:divBdr>
    </w:div>
    <w:div w:id="658047349">
      <w:bodyDiv w:val="1"/>
      <w:marLeft w:val="0"/>
      <w:marRight w:val="0"/>
      <w:marTop w:val="0"/>
      <w:marBottom w:val="0"/>
      <w:divBdr>
        <w:top w:val="none" w:sz="0" w:space="0" w:color="auto"/>
        <w:left w:val="none" w:sz="0" w:space="0" w:color="auto"/>
        <w:bottom w:val="none" w:sz="0" w:space="0" w:color="auto"/>
        <w:right w:val="none" w:sz="0" w:space="0" w:color="auto"/>
      </w:divBdr>
    </w:div>
    <w:div w:id="669985935">
      <w:bodyDiv w:val="1"/>
      <w:marLeft w:val="0"/>
      <w:marRight w:val="0"/>
      <w:marTop w:val="0"/>
      <w:marBottom w:val="0"/>
      <w:divBdr>
        <w:top w:val="none" w:sz="0" w:space="0" w:color="auto"/>
        <w:left w:val="none" w:sz="0" w:space="0" w:color="auto"/>
        <w:bottom w:val="none" w:sz="0" w:space="0" w:color="auto"/>
        <w:right w:val="none" w:sz="0" w:space="0" w:color="auto"/>
      </w:divBdr>
    </w:div>
    <w:div w:id="688795366">
      <w:bodyDiv w:val="1"/>
      <w:marLeft w:val="0"/>
      <w:marRight w:val="0"/>
      <w:marTop w:val="0"/>
      <w:marBottom w:val="0"/>
      <w:divBdr>
        <w:top w:val="none" w:sz="0" w:space="0" w:color="auto"/>
        <w:left w:val="none" w:sz="0" w:space="0" w:color="auto"/>
        <w:bottom w:val="none" w:sz="0" w:space="0" w:color="auto"/>
        <w:right w:val="none" w:sz="0" w:space="0" w:color="auto"/>
      </w:divBdr>
    </w:div>
    <w:div w:id="718210138">
      <w:bodyDiv w:val="1"/>
      <w:marLeft w:val="0"/>
      <w:marRight w:val="0"/>
      <w:marTop w:val="0"/>
      <w:marBottom w:val="0"/>
      <w:divBdr>
        <w:top w:val="none" w:sz="0" w:space="0" w:color="auto"/>
        <w:left w:val="none" w:sz="0" w:space="0" w:color="auto"/>
        <w:bottom w:val="none" w:sz="0" w:space="0" w:color="auto"/>
        <w:right w:val="none" w:sz="0" w:space="0" w:color="auto"/>
      </w:divBdr>
    </w:div>
    <w:div w:id="722942486">
      <w:bodyDiv w:val="1"/>
      <w:marLeft w:val="0"/>
      <w:marRight w:val="0"/>
      <w:marTop w:val="0"/>
      <w:marBottom w:val="0"/>
      <w:divBdr>
        <w:top w:val="none" w:sz="0" w:space="0" w:color="auto"/>
        <w:left w:val="none" w:sz="0" w:space="0" w:color="auto"/>
        <w:bottom w:val="none" w:sz="0" w:space="0" w:color="auto"/>
        <w:right w:val="none" w:sz="0" w:space="0" w:color="auto"/>
      </w:divBdr>
    </w:div>
    <w:div w:id="772169840">
      <w:bodyDiv w:val="1"/>
      <w:marLeft w:val="0"/>
      <w:marRight w:val="0"/>
      <w:marTop w:val="0"/>
      <w:marBottom w:val="0"/>
      <w:divBdr>
        <w:top w:val="none" w:sz="0" w:space="0" w:color="auto"/>
        <w:left w:val="none" w:sz="0" w:space="0" w:color="auto"/>
        <w:bottom w:val="none" w:sz="0" w:space="0" w:color="auto"/>
        <w:right w:val="none" w:sz="0" w:space="0" w:color="auto"/>
      </w:divBdr>
    </w:div>
    <w:div w:id="774059359">
      <w:bodyDiv w:val="1"/>
      <w:marLeft w:val="0"/>
      <w:marRight w:val="0"/>
      <w:marTop w:val="0"/>
      <w:marBottom w:val="0"/>
      <w:divBdr>
        <w:top w:val="none" w:sz="0" w:space="0" w:color="auto"/>
        <w:left w:val="none" w:sz="0" w:space="0" w:color="auto"/>
        <w:bottom w:val="none" w:sz="0" w:space="0" w:color="auto"/>
        <w:right w:val="none" w:sz="0" w:space="0" w:color="auto"/>
      </w:divBdr>
    </w:div>
    <w:div w:id="865679379">
      <w:bodyDiv w:val="1"/>
      <w:marLeft w:val="0"/>
      <w:marRight w:val="0"/>
      <w:marTop w:val="0"/>
      <w:marBottom w:val="0"/>
      <w:divBdr>
        <w:top w:val="none" w:sz="0" w:space="0" w:color="auto"/>
        <w:left w:val="none" w:sz="0" w:space="0" w:color="auto"/>
        <w:bottom w:val="none" w:sz="0" w:space="0" w:color="auto"/>
        <w:right w:val="none" w:sz="0" w:space="0" w:color="auto"/>
      </w:divBdr>
    </w:div>
    <w:div w:id="976839968">
      <w:bodyDiv w:val="1"/>
      <w:marLeft w:val="0"/>
      <w:marRight w:val="0"/>
      <w:marTop w:val="0"/>
      <w:marBottom w:val="0"/>
      <w:divBdr>
        <w:top w:val="none" w:sz="0" w:space="0" w:color="auto"/>
        <w:left w:val="none" w:sz="0" w:space="0" w:color="auto"/>
        <w:bottom w:val="none" w:sz="0" w:space="0" w:color="auto"/>
        <w:right w:val="none" w:sz="0" w:space="0" w:color="auto"/>
      </w:divBdr>
    </w:div>
    <w:div w:id="1048260441">
      <w:bodyDiv w:val="1"/>
      <w:marLeft w:val="0"/>
      <w:marRight w:val="0"/>
      <w:marTop w:val="0"/>
      <w:marBottom w:val="0"/>
      <w:divBdr>
        <w:top w:val="none" w:sz="0" w:space="0" w:color="auto"/>
        <w:left w:val="none" w:sz="0" w:space="0" w:color="auto"/>
        <w:bottom w:val="none" w:sz="0" w:space="0" w:color="auto"/>
        <w:right w:val="none" w:sz="0" w:space="0" w:color="auto"/>
      </w:divBdr>
    </w:div>
    <w:div w:id="1085880801">
      <w:bodyDiv w:val="1"/>
      <w:marLeft w:val="0"/>
      <w:marRight w:val="0"/>
      <w:marTop w:val="0"/>
      <w:marBottom w:val="0"/>
      <w:divBdr>
        <w:top w:val="none" w:sz="0" w:space="0" w:color="auto"/>
        <w:left w:val="none" w:sz="0" w:space="0" w:color="auto"/>
        <w:bottom w:val="none" w:sz="0" w:space="0" w:color="auto"/>
        <w:right w:val="none" w:sz="0" w:space="0" w:color="auto"/>
      </w:divBdr>
    </w:div>
    <w:div w:id="1087966023">
      <w:bodyDiv w:val="1"/>
      <w:marLeft w:val="0"/>
      <w:marRight w:val="0"/>
      <w:marTop w:val="0"/>
      <w:marBottom w:val="0"/>
      <w:divBdr>
        <w:top w:val="none" w:sz="0" w:space="0" w:color="auto"/>
        <w:left w:val="none" w:sz="0" w:space="0" w:color="auto"/>
        <w:bottom w:val="none" w:sz="0" w:space="0" w:color="auto"/>
        <w:right w:val="none" w:sz="0" w:space="0" w:color="auto"/>
      </w:divBdr>
    </w:div>
    <w:div w:id="1096828017">
      <w:bodyDiv w:val="1"/>
      <w:marLeft w:val="0"/>
      <w:marRight w:val="0"/>
      <w:marTop w:val="0"/>
      <w:marBottom w:val="0"/>
      <w:divBdr>
        <w:top w:val="none" w:sz="0" w:space="0" w:color="auto"/>
        <w:left w:val="none" w:sz="0" w:space="0" w:color="auto"/>
        <w:bottom w:val="none" w:sz="0" w:space="0" w:color="auto"/>
        <w:right w:val="none" w:sz="0" w:space="0" w:color="auto"/>
      </w:divBdr>
    </w:div>
    <w:div w:id="1099642415">
      <w:bodyDiv w:val="1"/>
      <w:marLeft w:val="0"/>
      <w:marRight w:val="0"/>
      <w:marTop w:val="0"/>
      <w:marBottom w:val="0"/>
      <w:divBdr>
        <w:top w:val="none" w:sz="0" w:space="0" w:color="auto"/>
        <w:left w:val="none" w:sz="0" w:space="0" w:color="auto"/>
        <w:bottom w:val="none" w:sz="0" w:space="0" w:color="auto"/>
        <w:right w:val="none" w:sz="0" w:space="0" w:color="auto"/>
      </w:divBdr>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
    <w:div w:id="1237667040">
      <w:bodyDiv w:val="1"/>
      <w:marLeft w:val="0"/>
      <w:marRight w:val="0"/>
      <w:marTop w:val="0"/>
      <w:marBottom w:val="0"/>
      <w:divBdr>
        <w:top w:val="none" w:sz="0" w:space="0" w:color="auto"/>
        <w:left w:val="none" w:sz="0" w:space="0" w:color="auto"/>
        <w:bottom w:val="none" w:sz="0" w:space="0" w:color="auto"/>
        <w:right w:val="none" w:sz="0" w:space="0" w:color="auto"/>
      </w:divBdr>
    </w:div>
    <w:div w:id="1337341414">
      <w:bodyDiv w:val="1"/>
      <w:marLeft w:val="0"/>
      <w:marRight w:val="0"/>
      <w:marTop w:val="0"/>
      <w:marBottom w:val="0"/>
      <w:divBdr>
        <w:top w:val="none" w:sz="0" w:space="0" w:color="auto"/>
        <w:left w:val="none" w:sz="0" w:space="0" w:color="auto"/>
        <w:bottom w:val="none" w:sz="0" w:space="0" w:color="auto"/>
        <w:right w:val="none" w:sz="0" w:space="0" w:color="auto"/>
      </w:divBdr>
    </w:div>
    <w:div w:id="1383560058">
      <w:bodyDiv w:val="1"/>
      <w:marLeft w:val="0"/>
      <w:marRight w:val="0"/>
      <w:marTop w:val="0"/>
      <w:marBottom w:val="0"/>
      <w:divBdr>
        <w:top w:val="none" w:sz="0" w:space="0" w:color="auto"/>
        <w:left w:val="none" w:sz="0" w:space="0" w:color="auto"/>
        <w:bottom w:val="none" w:sz="0" w:space="0" w:color="auto"/>
        <w:right w:val="none" w:sz="0" w:space="0" w:color="auto"/>
      </w:divBdr>
    </w:div>
    <w:div w:id="1407992523">
      <w:bodyDiv w:val="1"/>
      <w:marLeft w:val="0"/>
      <w:marRight w:val="0"/>
      <w:marTop w:val="0"/>
      <w:marBottom w:val="0"/>
      <w:divBdr>
        <w:top w:val="none" w:sz="0" w:space="0" w:color="auto"/>
        <w:left w:val="none" w:sz="0" w:space="0" w:color="auto"/>
        <w:bottom w:val="none" w:sz="0" w:space="0" w:color="auto"/>
        <w:right w:val="none" w:sz="0" w:space="0" w:color="auto"/>
      </w:divBdr>
    </w:div>
    <w:div w:id="1517427837">
      <w:bodyDiv w:val="1"/>
      <w:marLeft w:val="0"/>
      <w:marRight w:val="0"/>
      <w:marTop w:val="0"/>
      <w:marBottom w:val="0"/>
      <w:divBdr>
        <w:top w:val="none" w:sz="0" w:space="0" w:color="auto"/>
        <w:left w:val="none" w:sz="0" w:space="0" w:color="auto"/>
        <w:bottom w:val="none" w:sz="0" w:space="0" w:color="auto"/>
        <w:right w:val="none" w:sz="0" w:space="0" w:color="auto"/>
      </w:divBdr>
    </w:div>
    <w:div w:id="1552113551">
      <w:bodyDiv w:val="1"/>
      <w:marLeft w:val="0"/>
      <w:marRight w:val="0"/>
      <w:marTop w:val="0"/>
      <w:marBottom w:val="0"/>
      <w:divBdr>
        <w:top w:val="none" w:sz="0" w:space="0" w:color="auto"/>
        <w:left w:val="none" w:sz="0" w:space="0" w:color="auto"/>
        <w:bottom w:val="none" w:sz="0" w:space="0" w:color="auto"/>
        <w:right w:val="none" w:sz="0" w:space="0" w:color="auto"/>
      </w:divBdr>
    </w:div>
    <w:div w:id="1655795607">
      <w:bodyDiv w:val="1"/>
      <w:marLeft w:val="0"/>
      <w:marRight w:val="0"/>
      <w:marTop w:val="0"/>
      <w:marBottom w:val="0"/>
      <w:divBdr>
        <w:top w:val="none" w:sz="0" w:space="0" w:color="auto"/>
        <w:left w:val="none" w:sz="0" w:space="0" w:color="auto"/>
        <w:bottom w:val="none" w:sz="0" w:space="0" w:color="auto"/>
        <w:right w:val="none" w:sz="0" w:space="0" w:color="auto"/>
      </w:divBdr>
    </w:div>
    <w:div w:id="2066442216">
      <w:bodyDiv w:val="1"/>
      <w:marLeft w:val="0"/>
      <w:marRight w:val="0"/>
      <w:marTop w:val="0"/>
      <w:marBottom w:val="0"/>
      <w:divBdr>
        <w:top w:val="none" w:sz="0" w:space="0" w:color="auto"/>
        <w:left w:val="none" w:sz="0" w:space="0" w:color="auto"/>
        <w:bottom w:val="none" w:sz="0" w:space="0" w:color="auto"/>
        <w:right w:val="none" w:sz="0" w:space="0" w:color="auto"/>
      </w:divBdr>
    </w:div>
    <w:div w:id="2073577743">
      <w:bodyDiv w:val="1"/>
      <w:marLeft w:val="0"/>
      <w:marRight w:val="0"/>
      <w:marTop w:val="0"/>
      <w:marBottom w:val="0"/>
      <w:divBdr>
        <w:top w:val="none" w:sz="0" w:space="0" w:color="auto"/>
        <w:left w:val="none" w:sz="0" w:space="0" w:color="auto"/>
        <w:bottom w:val="none" w:sz="0" w:space="0" w:color="auto"/>
        <w:right w:val="none" w:sz="0" w:space="0" w:color="auto"/>
      </w:divBdr>
    </w:div>
    <w:div w:id="20982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8995</TotalTime>
  <Pages>1</Pages>
  <Words>5464</Words>
  <Characters>30053</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zhar.hajar@outlook.fr</cp:lastModifiedBy>
  <cp:revision>240</cp:revision>
  <dcterms:created xsi:type="dcterms:W3CDTF">2024-05-02T19:56:00Z</dcterms:created>
  <dcterms:modified xsi:type="dcterms:W3CDTF">2024-12-13T15:33:00Z</dcterms:modified>
</cp:coreProperties>
</file>