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C5A4B" w14:textId="77777777" w:rsidR="00CF47C4" w:rsidRPr="00A516D0" w:rsidRDefault="00CF47C4" w:rsidP="009D6D00">
      <w:pPr>
        <w:spacing w:after="0" w:line="240" w:lineRule="auto"/>
        <w:jc w:val="both"/>
        <w:rPr>
          <w:rFonts w:ascii="Times New Roman"/>
          <w:sz w:val="20"/>
          <w:szCs w:val="20"/>
        </w:rPr>
      </w:pPr>
    </w:p>
    <w:p w14:paraId="2E10C737" w14:textId="76F83363" w:rsidR="00CF47C4" w:rsidRPr="00A516D0" w:rsidRDefault="00561F3D" w:rsidP="002521B7">
      <w:pPr>
        <w:shd w:val="clear" w:color="auto" w:fill="C2D69B" w:themeFill="accent3" w:themeFillTint="99"/>
        <w:spacing w:after="0" w:line="240" w:lineRule="auto"/>
        <w:jc w:val="center"/>
        <w:rPr>
          <w:rFonts w:ascii="Times New Roman"/>
          <w:b/>
          <w:sz w:val="32"/>
          <w:szCs w:val="32"/>
        </w:rPr>
      </w:pPr>
      <w:r w:rsidRPr="008B4E86">
        <w:rPr>
          <w:rFonts w:ascii="Times New Roman"/>
          <w:b/>
          <w:color w:val="17365D" w:themeColor="text2" w:themeShade="BF"/>
          <w:sz w:val="32"/>
          <w:szCs w:val="32"/>
        </w:rPr>
        <w:t>System</w:t>
      </w:r>
      <w:r>
        <w:rPr>
          <w:rFonts w:ascii="Times New Roman"/>
          <w:b/>
          <w:color w:val="17365D" w:themeColor="text2" w:themeShade="BF"/>
          <w:sz w:val="32"/>
          <w:szCs w:val="32"/>
        </w:rPr>
        <w:t>i</w:t>
      </w:r>
      <w:r w:rsidRPr="008B4E86">
        <w:rPr>
          <w:rFonts w:ascii="Times New Roman"/>
          <w:b/>
          <w:color w:val="17365D" w:themeColor="text2" w:themeShade="BF"/>
          <w:sz w:val="32"/>
          <w:szCs w:val="32"/>
        </w:rPr>
        <w:t>c</w:t>
      </w:r>
      <w:r>
        <w:rPr>
          <w:rFonts w:ascii="Times New Roman"/>
          <w:b/>
          <w:color w:val="17365D" w:themeColor="text2" w:themeShade="BF"/>
          <w:sz w:val="32"/>
          <w:szCs w:val="32"/>
        </w:rPr>
        <w:t xml:space="preserve"> </w:t>
      </w:r>
      <w:r w:rsidR="008B4E86" w:rsidRPr="008B4E86">
        <w:rPr>
          <w:rFonts w:ascii="Times New Roman"/>
          <w:b/>
          <w:color w:val="17365D" w:themeColor="text2" w:themeShade="BF"/>
          <w:sz w:val="32"/>
          <w:szCs w:val="32"/>
        </w:rPr>
        <w:t xml:space="preserve">Bias in </w:t>
      </w:r>
      <w:r w:rsidR="00053C4A">
        <w:rPr>
          <w:rFonts w:ascii="Times New Roman"/>
          <w:b/>
          <w:color w:val="17365D" w:themeColor="text2" w:themeShade="BF"/>
          <w:sz w:val="32"/>
          <w:szCs w:val="32"/>
        </w:rPr>
        <w:t xml:space="preserve">In-Process </w:t>
      </w:r>
      <w:r w:rsidR="008B4E86" w:rsidRPr="008B4E86">
        <w:rPr>
          <w:rFonts w:ascii="Times New Roman"/>
          <w:b/>
          <w:color w:val="17365D" w:themeColor="text2" w:themeShade="BF"/>
          <w:sz w:val="32"/>
          <w:szCs w:val="32"/>
        </w:rPr>
        <w:t xml:space="preserve">Moisture Measurement Between Halogen Moisture Analyzer </w:t>
      </w:r>
      <w:r w:rsidR="008B4E86">
        <w:rPr>
          <w:rFonts w:ascii="Times New Roman"/>
          <w:b/>
          <w:color w:val="17365D" w:themeColor="text2" w:themeShade="BF"/>
          <w:sz w:val="32"/>
          <w:szCs w:val="32"/>
        </w:rPr>
        <w:t xml:space="preserve">and </w:t>
      </w:r>
      <w:r w:rsidR="00344640" w:rsidRPr="00344640">
        <w:rPr>
          <w:rFonts w:ascii="Times New Roman"/>
          <w:b/>
          <w:color w:val="17365D" w:themeColor="text2" w:themeShade="BF"/>
          <w:sz w:val="32"/>
          <w:szCs w:val="32"/>
        </w:rPr>
        <w:t>Vacuum Drying Oven</w:t>
      </w:r>
      <w:r w:rsidR="00053C4A">
        <w:rPr>
          <w:rFonts w:ascii="Times New Roman"/>
          <w:b/>
          <w:color w:val="17365D" w:themeColor="text2" w:themeShade="BF"/>
          <w:sz w:val="32"/>
          <w:szCs w:val="32"/>
        </w:rPr>
        <w:t xml:space="preserve"> </w:t>
      </w:r>
      <w:r w:rsidR="00303755">
        <w:rPr>
          <w:rFonts w:ascii="Times New Roman"/>
          <w:b/>
          <w:color w:val="17365D" w:themeColor="text2" w:themeShade="BF"/>
          <w:sz w:val="32"/>
          <w:szCs w:val="32"/>
        </w:rPr>
        <w:t>During</w:t>
      </w:r>
      <w:r w:rsidR="00053C4A">
        <w:rPr>
          <w:rFonts w:ascii="Times New Roman"/>
          <w:b/>
          <w:color w:val="17365D" w:themeColor="text2" w:themeShade="BF"/>
          <w:sz w:val="32"/>
          <w:szCs w:val="32"/>
        </w:rPr>
        <w:t xml:space="preserve"> Dry Cannabis Flower Production</w:t>
      </w:r>
    </w:p>
    <w:p w14:paraId="54B745E5" w14:textId="77777777" w:rsidR="00CF47C4" w:rsidRPr="00A516D0" w:rsidRDefault="00CF47C4" w:rsidP="009D6D00">
      <w:pPr>
        <w:spacing w:after="0" w:line="240" w:lineRule="auto"/>
        <w:jc w:val="both"/>
        <w:rPr>
          <w:rFonts w:ascii="Times New Roman"/>
          <w:sz w:val="20"/>
          <w:szCs w:val="20"/>
        </w:rPr>
      </w:pPr>
    </w:p>
    <w:p w14:paraId="2034EA21" w14:textId="36076D7F" w:rsidR="00883D4D" w:rsidRDefault="00344640" w:rsidP="002521B7">
      <w:pPr>
        <w:spacing w:after="0" w:line="240" w:lineRule="auto"/>
        <w:jc w:val="center"/>
        <w:rPr>
          <w:rFonts w:ascii="Times New Roman"/>
          <w:color w:val="17365D" w:themeColor="text2" w:themeShade="BF"/>
          <w:sz w:val="28"/>
          <w:szCs w:val="20"/>
        </w:rPr>
      </w:pPr>
      <w:r>
        <w:rPr>
          <w:rFonts w:ascii="Times New Roman"/>
          <w:color w:val="17365D" w:themeColor="text2" w:themeShade="BF"/>
          <w:sz w:val="28"/>
          <w:szCs w:val="20"/>
        </w:rPr>
        <w:t>Blagoj N</w:t>
      </w:r>
      <w:r w:rsidRPr="00AF6DAB">
        <w:rPr>
          <w:rFonts w:ascii="Times New Roman"/>
          <w:color w:val="17365D"/>
          <w:sz w:val="28"/>
          <w:szCs w:val="20"/>
        </w:rPr>
        <w:t>ikolov</w:t>
      </w:r>
      <w:r w:rsidR="005A4960">
        <w:rPr>
          <w:rFonts w:ascii="Times New Roman"/>
          <w:color w:val="17365D" w:themeColor="text2" w:themeShade="BF"/>
          <w:sz w:val="28"/>
          <w:szCs w:val="20"/>
        </w:rPr>
        <w:t xml:space="preserve">, </w:t>
      </w:r>
      <w:r>
        <w:rPr>
          <w:rFonts w:ascii="Times New Roman"/>
          <w:color w:val="17365D" w:themeColor="text2" w:themeShade="BF"/>
          <w:sz w:val="28"/>
          <w:szCs w:val="20"/>
        </w:rPr>
        <w:t xml:space="preserve">Suzana </w:t>
      </w:r>
      <w:proofErr w:type="spellStart"/>
      <w:r>
        <w:rPr>
          <w:rFonts w:ascii="Times New Roman"/>
          <w:color w:val="17365D" w:themeColor="text2" w:themeShade="BF"/>
          <w:sz w:val="28"/>
          <w:szCs w:val="20"/>
        </w:rPr>
        <w:t>Apostolovska</w:t>
      </w:r>
      <w:proofErr w:type="spellEnd"/>
      <w:r w:rsidR="005A4960">
        <w:rPr>
          <w:rFonts w:ascii="Times New Roman"/>
          <w:color w:val="17365D" w:themeColor="text2" w:themeShade="BF"/>
          <w:sz w:val="28"/>
          <w:szCs w:val="20"/>
        </w:rPr>
        <w:t xml:space="preserve">, </w:t>
      </w:r>
      <w:r w:rsidR="008261B9">
        <w:rPr>
          <w:rFonts w:ascii="Times New Roman"/>
          <w:color w:val="17365D" w:themeColor="text2" w:themeShade="BF"/>
          <w:sz w:val="28"/>
          <w:szCs w:val="20"/>
        </w:rPr>
        <w:t xml:space="preserve">Dejan </w:t>
      </w:r>
      <w:proofErr w:type="spellStart"/>
      <w:r w:rsidR="008261B9">
        <w:rPr>
          <w:rFonts w:ascii="Times New Roman"/>
          <w:color w:val="17365D" w:themeColor="text2" w:themeShade="BF"/>
          <w:sz w:val="28"/>
          <w:szCs w:val="20"/>
        </w:rPr>
        <w:t>Pejoski</w:t>
      </w:r>
      <w:proofErr w:type="spellEnd"/>
      <w:r w:rsidR="00883D4D" w:rsidRPr="00D10CD7">
        <w:rPr>
          <w:rFonts w:ascii="Times New Roman"/>
          <w:color w:val="17365D" w:themeColor="text2" w:themeShade="BF"/>
          <w:sz w:val="28"/>
          <w:szCs w:val="20"/>
        </w:rPr>
        <w:t>,</w:t>
      </w:r>
    </w:p>
    <w:p w14:paraId="321F157B" w14:textId="1F5107E9" w:rsidR="008261B9" w:rsidRPr="00AF6DAB" w:rsidRDefault="00344640" w:rsidP="00331D7A">
      <w:pPr>
        <w:spacing w:after="0" w:line="240" w:lineRule="auto"/>
        <w:jc w:val="center"/>
        <w:rPr>
          <w:rFonts w:ascii="Times New Roman"/>
          <w:i/>
          <w:color w:val="17365D"/>
          <w:sz w:val="20"/>
          <w:szCs w:val="20"/>
        </w:rPr>
      </w:pPr>
      <w:r w:rsidRPr="00AF6DAB">
        <w:rPr>
          <w:rFonts w:ascii="Times New Roman"/>
          <w:i/>
          <w:color w:val="17365D"/>
          <w:sz w:val="20"/>
          <w:szCs w:val="20"/>
        </w:rPr>
        <w:t xml:space="preserve">Quality Control Department, </w:t>
      </w:r>
      <w:proofErr w:type="spellStart"/>
      <w:r w:rsidRPr="00AF6DAB">
        <w:rPr>
          <w:rFonts w:ascii="Times New Roman"/>
          <w:i/>
          <w:color w:val="17365D"/>
          <w:sz w:val="20"/>
          <w:szCs w:val="20"/>
        </w:rPr>
        <w:t>Nedcann</w:t>
      </w:r>
      <w:proofErr w:type="spellEnd"/>
      <w:r w:rsidRPr="00AF6DAB">
        <w:rPr>
          <w:rFonts w:ascii="Times New Roman"/>
          <w:i/>
          <w:color w:val="17365D"/>
          <w:sz w:val="20"/>
          <w:szCs w:val="20"/>
        </w:rPr>
        <w:t xml:space="preserve"> North Macedonia LLC </w:t>
      </w:r>
      <w:r w:rsidR="008261B9" w:rsidRPr="00AF6DAB">
        <w:rPr>
          <w:rFonts w:ascii="Times New Roman"/>
          <w:i/>
          <w:color w:val="17365D"/>
          <w:sz w:val="20"/>
          <w:szCs w:val="20"/>
        </w:rPr>
        <w:t>–</w:t>
      </w:r>
      <w:r w:rsidRPr="00AF6DAB">
        <w:rPr>
          <w:rFonts w:ascii="Times New Roman"/>
          <w:i/>
          <w:color w:val="17365D"/>
          <w:sz w:val="20"/>
          <w:szCs w:val="20"/>
        </w:rPr>
        <w:t xml:space="preserve"> </w:t>
      </w:r>
      <w:proofErr w:type="spellStart"/>
      <w:r w:rsidRPr="00AF6DAB">
        <w:rPr>
          <w:rFonts w:ascii="Times New Roman"/>
          <w:i/>
          <w:color w:val="17365D"/>
          <w:sz w:val="20"/>
          <w:szCs w:val="20"/>
        </w:rPr>
        <w:t>Ohri</w:t>
      </w:r>
      <w:r w:rsidR="008261B9" w:rsidRPr="00AF6DAB">
        <w:rPr>
          <w:rFonts w:ascii="Times New Roman"/>
          <w:i/>
          <w:color w:val="17365D"/>
          <w:sz w:val="20"/>
          <w:szCs w:val="20"/>
        </w:rPr>
        <w:t>d</w:t>
      </w:r>
      <w:proofErr w:type="spellEnd"/>
      <w:r w:rsidR="008261B9" w:rsidRPr="00AF6DAB">
        <w:rPr>
          <w:rFonts w:ascii="Times New Roman"/>
          <w:i/>
          <w:color w:val="17365D"/>
          <w:sz w:val="20"/>
          <w:szCs w:val="20"/>
        </w:rPr>
        <w:t xml:space="preserve">, 15-Korpus 89, 6000 </w:t>
      </w:r>
      <w:proofErr w:type="spellStart"/>
      <w:r w:rsidR="008261B9" w:rsidRPr="00AF6DAB">
        <w:rPr>
          <w:rFonts w:ascii="Times New Roman"/>
          <w:i/>
          <w:color w:val="17365D"/>
          <w:sz w:val="20"/>
          <w:szCs w:val="20"/>
        </w:rPr>
        <w:t>Ohrid</w:t>
      </w:r>
      <w:proofErr w:type="spellEnd"/>
      <w:r w:rsidR="008261B9" w:rsidRPr="00AF6DAB">
        <w:rPr>
          <w:rFonts w:ascii="Times New Roman"/>
          <w:i/>
          <w:color w:val="17365D"/>
          <w:sz w:val="20"/>
          <w:szCs w:val="20"/>
        </w:rPr>
        <w:t>, Republic</w:t>
      </w:r>
    </w:p>
    <w:p w14:paraId="6253AF11" w14:textId="7F279BC6" w:rsidR="00344640" w:rsidRPr="00AF6DAB" w:rsidRDefault="008261B9" w:rsidP="00331D7A">
      <w:pPr>
        <w:spacing w:after="0" w:line="240" w:lineRule="auto"/>
        <w:jc w:val="center"/>
        <w:rPr>
          <w:rFonts w:ascii="Times New Roman"/>
          <w:i/>
          <w:color w:val="17365D"/>
          <w:sz w:val="20"/>
          <w:szCs w:val="20"/>
        </w:rPr>
      </w:pPr>
      <w:r w:rsidRPr="00AF6DAB">
        <w:rPr>
          <w:rFonts w:ascii="Times New Roman"/>
          <w:i/>
          <w:color w:val="17365D"/>
          <w:sz w:val="20"/>
          <w:szCs w:val="20"/>
        </w:rPr>
        <w:t>of North Macedonia, www.nedcann.com</w:t>
      </w:r>
    </w:p>
    <w:p w14:paraId="0789BDB7" w14:textId="7270B516" w:rsidR="00CF47C4" w:rsidRPr="00AF6DAB" w:rsidRDefault="00AF6DAB" w:rsidP="00AF6DAB">
      <w:pPr>
        <w:spacing w:after="0" w:line="240" w:lineRule="auto"/>
        <w:jc w:val="center"/>
        <w:rPr>
          <w:rFonts w:ascii="Times New Roman"/>
          <w:i/>
          <w:iCs/>
          <w:color w:val="17365D"/>
          <w:sz w:val="20"/>
          <w:szCs w:val="20"/>
        </w:rPr>
      </w:pPr>
      <w:r w:rsidRPr="00AF6DAB">
        <w:rPr>
          <w:rFonts w:ascii="Times New Roman"/>
          <w:i/>
          <w:iCs/>
          <w:color w:val="17365D"/>
          <w:sz w:val="20"/>
          <w:szCs w:val="20"/>
        </w:rPr>
        <w:t>Corresponding Author: Blagoj Nikolov, nikolov.blagoj@gmail.com</w:t>
      </w:r>
    </w:p>
    <w:p w14:paraId="5355CAA0" w14:textId="77777777" w:rsidR="00AF6DAB" w:rsidRPr="00AF6DAB" w:rsidRDefault="00AF6DAB" w:rsidP="009D6D00">
      <w:pPr>
        <w:spacing w:after="0" w:line="240" w:lineRule="auto"/>
        <w:jc w:val="both"/>
        <w:rPr>
          <w:rFonts w:ascii="Times New Roman"/>
          <w:color w:val="17365D"/>
          <w:sz w:val="20"/>
          <w:szCs w:val="20"/>
        </w:rPr>
      </w:pPr>
    </w:p>
    <w:p w14:paraId="4A3FC788" w14:textId="5ED3D208" w:rsidR="00F527BA" w:rsidRDefault="008A7684" w:rsidP="009D6D00">
      <w:pPr>
        <w:pBdr>
          <w:top w:val="single" w:sz="4" w:space="1" w:color="auto"/>
        </w:pBdr>
        <w:shd w:val="clear" w:color="auto" w:fill="C2D69B" w:themeFill="accent3" w:themeFillTint="99"/>
        <w:spacing w:after="0" w:line="240" w:lineRule="auto"/>
        <w:jc w:val="both"/>
        <w:rPr>
          <w:rFonts w:ascii="Times New Roman"/>
          <w:b/>
          <w:i/>
          <w:lang w:val="fr-FR"/>
        </w:rPr>
      </w:pPr>
      <w:r w:rsidRPr="00A516D0">
        <w:rPr>
          <w:rFonts w:ascii="Times New Roman"/>
          <w:b/>
          <w:i/>
          <w:szCs w:val="20"/>
        </w:rPr>
        <w:t>Abstract:</w:t>
      </w:r>
      <w:r w:rsidR="00A516D0">
        <w:rPr>
          <w:rFonts w:ascii="Times New Roman"/>
          <w:b/>
          <w:i/>
          <w:szCs w:val="20"/>
        </w:rPr>
        <w:t xml:space="preserve"> </w:t>
      </w:r>
    </w:p>
    <w:p w14:paraId="3AB3A344" w14:textId="7FE29BED" w:rsidR="00742F82" w:rsidRPr="008575E9" w:rsidRDefault="00742F82" w:rsidP="009D6D00">
      <w:pPr>
        <w:pBdr>
          <w:top w:val="single" w:sz="4" w:space="1" w:color="auto"/>
        </w:pBdr>
        <w:shd w:val="clear" w:color="auto" w:fill="C2D69B" w:themeFill="accent3" w:themeFillTint="99"/>
        <w:spacing w:after="0" w:line="240" w:lineRule="auto"/>
        <w:jc w:val="both"/>
        <w:rPr>
          <w:rFonts w:ascii="Times New Roman"/>
          <w:i/>
          <w:iCs/>
          <w:sz w:val="20"/>
          <w:szCs w:val="20"/>
        </w:rPr>
      </w:pPr>
      <w:r w:rsidRPr="008575E9">
        <w:rPr>
          <w:rFonts w:ascii="Times New Roman"/>
          <w:i/>
          <w:iCs/>
          <w:sz w:val="20"/>
          <w:szCs w:val="20"/>
        </w:rPr>
        <w:t>This study evaluates the performance of a Halogen Moisture Analyzer (HMA)</w:t>
      </w:r>
      <w:r w:rsidR="005C0E2E">
        <w:rPr>
          <w:rFonts w:ascii="Times New Roman"/>
          <w:i/>
          <w:iCs/>
          <w:sz w:val="20"/>
          <w:szCs w:val="20"/>
        </w:rPr>
        <w:t xml:space="preserve"> in </w:t>
      </w:r>
      <w:r w:rsidRPr="008575E9">
        <w:rPr>
          <w:rFonts w:ascii="Times New Roman"/>
          <w:i/>
          <w:iCs/>
          <w:sz w:val="20"/>
          <w:szCs w:val="20"/>
        </w:rPr>
        <w:t xml:space="preserve">determining </w:t>
      </w:r>
      <w:r w:rsidR="005C0E2E" w:rsidRPr="008575E9">
        <w:rPr>
          <w:rFonts w:ascii="Times New Roman"/>
          <w:i/>
          <w:iCs/>
          <w:sz w:val="20"/>
          <w:szCs w:val="20"/>
        </w:rPr>
        <w:t xml:space="preserve">moisture content (%MC) </w:t>
      </w:r>
      <w:r w:rsidRPr="008575E9">
        <w:rPr>
          <w:rFonts w:ascii="Times New Roman"/>
          <w:i/>
          <w:iCs/>
          <w:sz w:val="20"/>
          <w:szCs w:val="20"/>
        </w:rPr>
        <w:t>in dry cannabis flowers,</w:t>
      </w:r>
      <w:r w:rsidR="005C0E2E">
        <w:rPr>
          <w:rFonts w:ascii="Times New Roman"/>
          <w:i/>
          <w:iCs/>
          <w:sz w:val="20"/>
          <w:szCs w:val="20"/>
        </w:rPr>
        <w:t xml:space="preserve"> as In-Process Quality Control of </w:t>
      </w:r>
      <w:r w:rsidR="003C685B">
        <w:rPr>
          <w:rFonts w:ascii="Times New Roman"/>
          <w:i/>
          <w:iCs/>
          <w:sz w:val="20"/>
          <w:szCs w:val="20"/>
        </w:rPr>
        <w:t xml:space="preserve">the </w:t>
      </w:r>
      <w:r w:rsidR="005C0E2E">
        <w:rPr>
          <w:rFonts w:ascii="Times New Roman"/>
          <w:i/>
          <w:iCs/>
          <w:sz w:val="20"/>
          <w:szCs w:val="20"/>
        </w:rPr>
        <w:t xml:space="preserve">drying and curing </w:t>
      </w:r>
      <w:r w:rsidR="003C685B">
        <w:rPr>
          <w:rFonts w:ascii="Times New Roman"/>
          <w:i/>
          <w:iCs/>
          <w:sz w:val="20"/>
          <w:szCs w:val="20"/>
        </w:rPr>
        <w:t xml:space="preserve">production </w:t>
      </w:r>
      <w:r w:rsidR="005C0E2E">
        <w:rPr>
          <w:rFonts w:ascii="Times New Roman"/>
          <w:i/>
          <w:iCs/>
          <w:sz w:val="20"/>
          <w:szCs w:val="20"/>
        </w:rPr>
        <w:t>processes in</w:t>
      </w:r>
      <w:r w:rsidRPr="008575E9">
        <w:rPr>
          <w:rFonts w:ascii="Times New Roman"/>
          <w:i/>
          <w:iCs/>
          <w:sz w:val="20"/>
          <w:szCs w:val="20"/>
        </w:rPr>
        <w:t xml:space="preserve"> </w:t>
      </w:r>
      <w:r w:rsidR="005C0E2E">
        <w:rPr>
          <w:rFonts w:ascii="Times New Roman"/>
          <w:i/>
          <w:iCs/>
          <w:sz w:val="20"/>
          <w:szCs w:val="20"/>
        </w:rPr>
        <w:t>comparison with</w:t>
      </w:r>
      <w:r w:rsidR="005C0E2E" w:rsidRPr="008575E9">
        <w:rPr>
          <w:rFonts w:ascii="Times New Roman"/>
          <w:i/>
          <w:iCs/>
          <w:sz w:val="20"/>
          <w:szCs w:val="20"/>
        </w:rPr>
        <w:t xml:space="preserve"> Vacuum Drying Oven (DO) </w:t>
      </w:r>
      <w:r w:rsidR="003C685B">
        <w:rPr>
          <w:rFonts w:ascii="Times New Roman"/>
          <w:i/>
          <w:iCs/>
          <w:sz w:val="20"/>
          <w:szCs w:val="20"/>
        </w:rPr>
        <w:t xml:space="preserve">method, </w:t>
      </w:r>
      <w:r w:rsidRPr="008575E9">
        <w:rPr>
          <w:rFonts w:ascii="Times New Roman"/>
          <w:i/>
          <w:iCs/>
          <w:sz w:val="20"/>
          <w:szCs w:val="20"/>
        </w:rPr>
        <w:t xml:space="preserve">as per </w:t>
      </w:r>
      <w:proofErr w:type="spellStart"/>
      <w:r w:rsidRPr="008575E9">
        <w:rPr>
          <w:rFonts w:ascii="Times New Roman"/>
          <w:i/>
          <w:iCs/>
          <w:sz w:val="20"/>
          <w:szCs w:val="20"/>
        </w:rPr>
        <w:t>Ph.Eur</w:t>
      </w:r>
      <w:proofErr w:type="spellEnd"/>
      <w:r w:rsidRPr="008575E9">
        <w:rPr>
          <w:rFonts w:ascii="Times New Roman"/>
          <w:i/>
          <w:iCs/>
          <w:sz w:val="20"/>
          <w:szCs w:val="20"/>
        </w:rPr>
        <w:t>. 2.2.32</w:t>
      </w:r>
      <w:r w:rsidR="005C0E2E">
        <w:rPr>
          <w:rFonts w:ascii="Times New Roman"/>
          <w:i/>
          <w:iCs/>
          <w:sz w:val="20"/>
          <w:szCs w:val="20"/>
        </w:rPr>
        <w:t xml:space="preserve"> and </w:t>
      </w:r>
      <w:proofErr w:type="spellStart"/>
      <w:r w:rsidR="005C0E2E" w:rsidRPr="008575E9">
        <w:rPr>
          <w:rFonts w:ascii="Times New Roman"/>
          <w:i/>
          <w:iCs/>
          <w:sz w:val="20"/>
          <w:szCs w:val="20"/>
        </w:rPr>
        <w:t>Ph.Eur</w:t>
      </w:r>
      <w:proofErr w:type="spellEnd"/>
      <w:r w:rsidR="005C0E2E" w:rsidRPr="008575E9">
        <w:rPr>
          <w:rFonts w:ascii="Times New Roman"/>
          <w:i/>
          <w:iCs/>
          <w:sz w:val="20"/>
          <w:szCs w:val="20"/>
        </w:rPr>
        <w:t xml:space="preserve">. </w:t>
      </w:r>
      <w:r w:rsidR="005C0E2E" w:rsidRPr="005C0E2E">
        <w:rPr>
          <w:rFonts w:ascii="Times New Roman"/>
          <w:i/>
          <w:iCs/>
          <w:sz w:val="20"/>
          <w:szCs w:val="20"/>
        </w:rPr>
        <w:t>Cannabis Monograph No. 3028</w:t>
      </w:r>
      <w:r w:rsidRPr="008575E9">
        <w:rPr>
          <w:rFonts w:ascii="Times New Roman"/>
          <w:i/>
          <w:iCs/>
          <w:sz w:val="20"/>
          <w:szCs w:val="20"/>
        </w:rPr>
        <w:t>. Using 24 homogenized samples, moisture content (%MC) was measured in parallel with both methods. The HMA, operating at 105°C, yielded a mean %MC of 10.33% (SD = 0.61; RSD = 5.94%), while the DO method (40°C, 24-hour drying) reported 6.87% (SD = 0.57; RSD = 8.2</w:t>
      </w:r>
      <w:r w:rsidR="000E02F8">
        <w:rPr>
          <w:rFonts w:ascii="Times New Roman"/>
          <w:i/>
          <w:iCs/>
          <w:sz w:val="20"/>
          <w:szCs w:val="20"/>
        </w:rPr>
        <w:t>5</w:t>
      </w:r>
      <w:r w:rsidRPr="008575E9">
        <w:rPr>
          <w:rFonts w:ascii="Times New Roman"/>
          <w:i/>
          <w:iCs/>
          <w:sz w:val="20"/>
          <w:szCs w:val="20"/>
        </w:rPr>
        <w:t xml:space="preserve">%), revealing a systematic bias (Δ%MC = 3.46%) attributed to HMA-induced evaporation of volatile organic compounds (VOCs) such as terpenes. Statistical analysis confirmed non-overlapping 95% confidence intervals (HMA: 10.07–10.59%; DO: 6.63–7.11%) and a moderate Pearson correlation (r = 0.59), indicating that the methods measure distinct components (total volatiles vs. free water). Despite failing predefined accuracy criteria, the HMA demonstrated </w:t>
      </w:r>
      <w:r w:rsidR="000E02F8">
        <w:rPr>
          <w:rFonts w:ascii="Times New Roman"/>
          <w:i/>
          <w:iCs/>
          <w:sz w:val="20"/>
          <w:szCs w:val="20"/>
        </w:rPr>
        <w:t>strong</w:t>
      </w:r>
      <w:r w:rsidRPr="008575E9">
        <w:rPr>
          <w:rFonts w:ascii="Times New Roman"/>
          <w:i/>
          <w:iCs/>
          <w:sz w:val="20"/>
          <w:szCs w:val="20"/>
        </w:rPr>
        <w:t xml:space="preserve"> precision and operational efficiency, enabling real-time process monitoring. The regression model (ŷ = 0.55x + 1.</w:t>
      </w:r>
      <w:r w:rsidR="000E02F8">
        <w:rPr>
          <w:rFonts w:ascii="Times New Roman"/>
          <w:i/>
          <w:iCs/>
          <w:sz w:val="20"/>
          <w:szCs w:val="20"/>
        </w:rPr>
        <w:t>21</w:t>
      </w:r>
      <w:r w:rsidRPr="008575E9">
        <w:rPr>
          <w:rFonts w:ascii="Times New Roman"/>
          <w:i/>
          <w:iCs/>
          <w:sz w:val="20"/>
          <w:szCs w:val="20"/>
        </w:rPr>
        <w:t xml:space="preserve">) highlighted limitations in direct method conversion, emphasizing the need for strain-specific correction factors. These findings underscore the HMA’s utility for in-process quality control but reaffirm the DO’s role as the regulatory benchmark. For the cannabis industry, we recommend adopting HMA for rapid drying/curing </w:t>
      </w:r>
      <w:r w:rsidR="00B977BF">
        <w:rPr>
          <w:rFonts w:ascii="Times New Roman"/>
          <w:i/>
          <w:iCs/>
          <w:sz w:val="20"/>
          <w:szCs w:val="20"/>
        </w:rPr>
        <w:t xml:space="preserve">process </w:t>
      </w:r>
      <w:r w:rsidRPr="008575E9">
        <w:rPr>
          <w:rFonts w:ascii="Times New Roman"/>
          <w:i/>
          <w:iCs/>
          <w:sz w:val="20"/>
          <w:szCs w:val="20"/>
        </w:rPr>
        <w:t>adjustments while reserving DO for compliance testing. Future work should prioritize</w:t>
      </w:r>
      <w:r w:rsidR="000E02F8">
        <w:rPr>
          <w:rFonts w:ascii="Times New Roman"/>
          <w:i/>
          <w:iCs/>
          <w:sz w:val="20"/>
          <w:szCs w:val="20"/>
        </w:rPr>
        <w:t xml:space="preserve"> </w:t>
      </w:r>
      <w:r w:rsidR="000E02F8" w:rsidRPr="008575E9">
        <w:rPr>
          <w:rFonts w:ascii="Times New Roman"/>
          <w:i/>
          <w:iCs/>
          <w:sz w:val="20"/>
          <w:szCs w:val="20"/>
        </w:rPr>
        <w:t>refining</w:t>
      </w:r>
      <w:r w:rsidRPr="008575E9">
        <w:rPr>
          <w:rFonts w:ascii="Times New Roman"/>
          <w:i/>
          <w:iCs/>
          <w:sz w:val="20"/>
          <w:szCs w:val="20"/>
        </w:rPr>
        <w:t xml:space="preserve"> correction models and </w:t>
      </w:r>
      <w:r w:rsidR="000E02F8" w:rsidRPr="008575E9">
        <w:rPr>
          <w:rFonts w:ascii="Times New Roman"/>
          <w:i/>
          <w:iCs/>
          <w:sz w:val="20"/>
          <w:szCs w:val="20"/>
        </w:rPr>
        <w:t>optimizing</w:t>
      </w:r>
      <w:r w:rsidRPr="008575E9">
        <w:rPr>
          <w:rFonts w:ascii="Times New Roman"/>
          <w:i/>
          <w:iCs/>
          <w:sz w:val="20"/>
          <w:szCs w:val="20"/>
        </w:rPr>
        <w:t xml:space="preserve"> drying</w:t>
      </w:r>
      <w:r w:rsidR="0027675E">
        <w:rPr>
          <w:rFonts w:ascii="Times New Roman"/>
          <w:i/>
          <w:iCs/>
          <w:sz w:val="20"/>
          <w:szCs w:val="20"/>
        </w:rPr>
        <w:t xml:space="preserve"> and curing</w:t>
      </w:r>
      <w:r w:rsidRPr="008575E9">
        <w:rPr>
          <w:rFonts w:ascii="Times New Roman"/>
          <w:i/>
          <w:iCs/>
          <w:sz w:val="20"/>
          <w:szCs w:val="20"/>
        </w:rPr>
        <w:t xml:space="preserve"> protocols.</w:t>
      </w:r>
      <w:r w:rsidR="004F125A">
        <w:rPr>
          <w:rFonts w:ascii="Times New Roman"/>
          <w:i/>
          <w:iCs/>
          <w:sz w:val="20"/>
          <w:szCs w:val="20"/>
        </w:rPr>
        <w:t xml:space="preserve"> </w:t>
      </w:r>
      <w:r w:rsidR="004F125A" w:rsidRPr="004F125A">
        <w:rPr>
          <w:rFonts w:ascii="Times New Roman"/>
          <w:i/>
          <w:iCs/>
          <w:sz w:val="20"/>
          <w:szCs w:val="20"/>
        </w:rPr>
        <w:t>Adopting this hybrid approach can enhance compliance, prevent over-drying, and optimize moisture control workflows in pharmaceutical cannabis production</w:t>
      </w:r>
      <w:r w:rsidR="004F125A">
        <w:rPr>
          <w:rFonts w:ascii="Times New Roman"/>
          <w:i/>
          <w:iCs/>
          <w:sz w:val="20"/>
          <w:szCs w:val="20"/>
        </w:rPr>
        <w:t>.</w:t>
      </w:r>
    </w:p>
    <w:p w14:paraId="188B4657" w14:textId="687BAF5D" w:rsidR="00742F82" w:rsidRPr="00742F82" w:rsidRDefault="00DD470F" w:rsidP="009D6D00">
      <w:pPr>
        <w:pBdr>
          <w:top w:val="single" w:sz="4" w:space="1" w:color="auto"/>
        </w:pBdr>
        <w:shd w:val="clear" w:color="auto" w:fill="C2D69B" w:themeFill="accent3" w:themeFillTint="99"/>
        <w:spacing w:after="0" w:line="240" w:lineRule="auto"/>
        <w:jc w:val="both"/>
        <w:rPr>
          <w:rFonts w:ascii="Times New Roman"/>
          <w:b/>
          <w:bCs/>
          <w:i/>
          <w:iCs/>
          <w:sz w:val="20"/>
          <w:szCs w:val="20"/>
        </w:rPr>
      </w:pPr>
      <w:r>
        <w:rPr>
          <w:rFonts w:ascii="Times New Roman"/>
          <w:b/>
          <w:bCs/>
          <w:i/>
          <w:iCs/>
          <w:sz w:val="20"/>
          <w:szCs w:val="20"/>
        </w:rPr>
        <w:t xml:space="preserve"> </w:t>
      </w:r>
    </w:p>
    <w:p w14:paraId="5DEBF499" w14:textId="7AABD486" w:rsidR="00F527BA" w:rsidRPr="00D436F0" w:rsidRDefault="00742F82" w:rsidP="009D6D00">
      <w:pPr>
        <w:pBdr>
          <w:top w:val="single" w:sz="4" w:space="1" w:color="auto"/>
        </w:pBdr>
        <w:shd w:val="clear" w:color="auto" w:fill="C2D69B" w:themeFill="accent3" w:themeFillTint="99"/>
        <w:spacing w:after="0" w:line="240" w:lineRule="auto"/>
        <w:jc w:val="both"/>
        <w:rPr>
          <w:rFonts w:ascii="Times New Roman"/>
          <w:i/>
        </w:rPr>
      </w:pPr>
      <w:r w:rsidRPr="00742F82">
        <w:rPr>
          <w:rFonts w:ascii="Times New Roman"/>
          <w:b/>
          <w:bCs/>
          <w:i/>
          <w:iCs/>
          <w:sz w:val="20"/>
          <w:szCs w:val="20"/>
        </w:rPr>
        <w:t xml:space="preserve">Keywords: </w:t>
      </w:r>
      <w:r w:rsidR="001A5114" w:rsidRPr="008575E9">
        <w:rPr>
          <w:rFonts w:ascii="Times New Roman"/>
          <w:i/>
          <w:iCs/>
          <w:sz w:val="20"/>
          <w:szCs w:val="20"/>
        </w:rPr>
        <w:t>Moisture content, cannabis</w:t>
      </w:r>
      <w:r w:rsidR="001A5114" w:rsidRPr="001A5114">
        <w:rPr>
          <w:rFonts w:ascii="Times New Roman"/>
          <w:b/>
          <w:bCs/>
          <w:i/>
          <w:iCs/>
          <w:sz w:val="20"/>
          <w:szCs w:val="20"/>
        </w:rPr>
        <w:t xml:space="preserve">, </w:t>
      </w:r>
      <w:r w:rsidR="001A5114" w:rsidRPr="008575E9">
        <w:rPr>
          <w:rFonts w:ascii="Times New Roman"/>
          <w:i/>
          <w:iCs/>
          <w:sz w:val="20"/>
          <w:szCs w:val="20"/>
        </w:rPr>
        <w:t>Halogen Moisture Analyzer (HMA), Drying Oven (DO), Volatile Organic Compounds (VOCs), Quality Control</w:t>
      </w:r>
    </w:p>
    <w:p w14:paraId="40137550" w14:textId="77777777" w:rsidR="00CF47C4" w:rsidRPr="00A516D0" w:rsidRDefault="00CF47C4" w:rsidP="00E140E9">
      <w:pPr>
        <w:pBdr>
          <w:top w:val="single" w:sz="4" w:space="1" w:color="auto"/>
          <w:bottom w:val="single" w:sz="4" w:space="0" w:color="auto"/>
        </w:pBdr>
        <w:spacing w:after="0" w:line="240" w:lineRule="auto"/>
        <w:jc w:val="both"/>
        <w:rPr>
          <w:rFonts w:ascii="Times New Roman"/>
          <w:sz w:val="20"/>
          <w:szCs w:val="20"/>
        </w:rPr>
      </w:pPr>
    </w:p>
    <w:p w14:paraId="0EBCBC6F" w14:textId="77777777" w:rsidR="00A305F2" w:rsidRPr="00A305F2" w:rsidRDefault="00A305F2" w:rsidP="00A305F2">
      <w:pPr>
        <w:pStyle w:val="ListParagraph"/>
        <w:spacing w:after="0" w:line="240" w:lineRule="auto"/>
        <w:ind w:left="360"/>
        <w:rPr>
          <w:rFonts w:ascii="Times New Roman"/>
          <w:b/>
          <w:bCs/>
        </w:rPr>
      </w:pPr>
    </w:p>
    <w:p w14:paraId="45884ED6" w14:textId="7C8B800F" w:rsidR="00D17811" w:rsidRPr="00A516D0" w:rsidRDefault="008A7684" w:rsidP="002521B7">
      <w:pPr>
        <w:pStyle w:val="ListParagraph"/>
        <w:numPr>
          <w:ilvl w:val="0"/>
          <w:numId w:val="5"/>
        </w:numPr>
        <w:spacing w:after="0" w:line="240" w:lineRule="auto"/>
        <w:ind w:left="360" w:hanging="360"/>
        <w:jc w:val="center"/>
        <w:rPr>
          <w:rFonts w:ascii="Times New Roman"/>
          <w:b/>
          <w:bCs/>
        </w:rPr>
      </w:pPr>
      <w:r w:rsidRPr="00A516D0">
        <w:rPr>
          <w:rFonts w:ascii="Times New Roman"/>
          <w:b/>
          <w:szCs w:val="20"/>
        </w:rPr>
        <w:t>Introduction</w:t>
      </w:r>
    </w:p>
    <w:p w14:paraId="4949AAC6" w14:textId="49920241" w:rsidR="00416DFC" w:rsidRPr="00416DFC" w:rsidRDefault="008A7684" w:rsidP="009D6D00">
      <w:pPr>
        <w:spacing w:after="0" w:line="240" w:lineRule="auto"/>
        <w:jc w:val="both"/>
        <w:rPr>
          <w:rFonts w:ascii="Times New Roman"/>
          <w:sz w:val="20"/>
          <w:szCs w:val="20"/>
        </w:rPr>
      </w:pPr>
      <w:r w:rsidRPr="00A516D0">
        <w:rPr>
          <w:rFonts w:ascii="Times New Roman"/>
          <w:sz w:val="20"/>
          <w:szCs w:val="20"/>
        </w:rPr>
        <w:tab/>
      </w:r>
      <w:r w:rsidR="00416DFC" w:rsidRPr="00416DFC">
        <w:rPr>
          <w:rFonts w:ascii="Times New Roman"/>
          <w:sz w:val="20"/>
          <w:szCs w:val="20"/>
        </w:rPr>
        <w:t>Moisture content determination</w:t>
      </w:r>
      <w:r w:rsidR="00422F49">
        <w:rPr>
          <w:rFonts w:ascii="Times New Roman"/>
          <w:sz w:val="20"/>
          <w:szCs w:val="20"/>
        </w:rPr>
        <w:t xml:space="preserve">, </w:t>
      </w:r>
      <w:r w:rsidR="00422F49">
        <w:rPr>
          <w:rFonts w:ascii="Times New Roman"/>
          <w:i/>
          <w:iCs/>
          <w:sz w:val="20"/>
          <w:szCs w:val="20"/>
        </w:rPr>
        <w:t xml:space="preserve">as In-Process </w:t>
      </w:r>
      <w:r w:rsidR="00422F49" w:rsidRPr="00422F49">
        <w:rPr>
          <w:rFonts w:ascii="Times New Roman"/>
          <w:sz w:val="20"/>
          <w:szCs w:val="20"/>
        </w:rPr>
        <w:t>Quality Control of the drying and curing processes</w:t>
      </w:r>
      <w:r w:rsidR="00416DFC" w:rsidRPr="00416DFC">
        <w:rPr>
          <w:rFonts w:ascii="Times New Roman"/>
          <w:sz w:val="20"/>
          <w:szCs w:val="20"/>
        </w:rPr>
        <w:t xml:space="preserve"> </w:t>
      </w:r>
      <w:r w:rsidR="00422F49">
        <w:rPr>
          <w:rFonts w:ascii="Times New Roman"/>
          <w:sz w:val="20"/>
          <w:szCs w:val="20"/>
        </w:rPr>
        <w:t>of</w:t>
      </w:r>
      <w:r w:rsidR="00416DFC" w:rsidRPr="00416DFC">
        <w:rPr>
          <w:rFonts w:ascii="Times New Roman"/>
          <w:sz w:val="20"/>
          <w:szCs w:val="20"/>
        </w:rPr>
        <w:t xml:space="preserve"> </w:t>
      </w:r>
      <w:r w:rsidR="0027675E">
        <w:rPr>
          <w:rFonts w:ascii="Times New Roman"/>
          <w:sz w:val="20"/>
          <w:szCs w:val="20"/>
        </w:rPr>
        <w:t>a</w:t>
      </w:r>
      <w:r w:rsidR="00ED6DE9">
        <w:rPr>
          <w:rFonts w:ascii="Times New Roman"/>
          <w:sz w:val="20"/>
          <w:szCs w:val="20"/>
        </w:rPr>
        <w:t xml:space="preserve"> </w:t>
      </w:r>
      <w:r w:rsidR="00422F49">
        <w:rPr>
          <w:rFonts w:ascii="Times New Roman"/>
          <w:sz w:val="20"/>
          <w:szCs w:val="20"/>
        </w:rPr>
        <w:t xml:space="preserve">GMP </w:t>
      </w:r>
      <w:r w:rsidR="00ED6DE9">
        <w:rPr>
          <w:rFonts w:ascii="Times New Roman"/>
          <w:sz w:val="20"/>
          <w:szCs w:val="20"/>
        </w:rPr>
        <w:t xml:space="preserve">production of dry </w:t>
      </w:r>
      <w:r w:rsidR="00416DFC" w:rsidRPr="00416DFC">
        <w:rPr>
          <w:rFonts w:ascii="Times New Roman"/>
          <w:sz w:val="20"/>
          <w:szCs w:val="20"/>
        </w:rPr>
        <w:t>Cannabis</w:t>
      </w:r>
      <w:r w:rsidR="00422F49">
        <w:rPr>
          <w:rFonts w:ascii="Times New Roman"/>
          <w:sz w:val="20"/>
          <w:szCs w:val="20"/>
        </w:rPr>
        <w:t xml:space="preserve"> </w:t>
      </w:r>
      <w:r w:rsidR="00ED6DE9">
        <w:rPr>
          <w:rFonts w:ascii="Times New Roman"/>
          <w:sz w:val="20"/>
          <w:szCs w:val="20"/>
        </w:rPr>
        <w:t>flowers</w:t>
      </w:r>
      <w:r w:rsidR="00422F49">
        <w:rPr>
          <w:rFonts w:ascii="Times New Roman"/>
          <w:sz w:val="20"/>
          <w:szCs w:val="20"/>
        </w:rPr>
        <w:t xml:space="preserve"> (</w:t>
      </w:r>
      <w:r w:rsidR="00422F49" w:rsidRPr="00422F49">
        <w:rPr>
          <w:rFonts w:ascii="Times New Roman"/>
          <w:i/>
          <w:iCs/>
          <w:sz w:val="20"/>
          <w:szCs w:val="20"/>
        </w:rPr>
        <w:t>Cannabis sativa L.</w:t>
      </w:r>
      <w:r w:rsidR="00422F49" w:rsidRPr="00422F49">
        <w:rPr>
          <w:rFonts w:ascii="Times New Roman"/>
          <w:sz w:val="20"/>
          <w:szCs w:val="20"/>
        </w:rPr>
        <w:t>)</w:t>
      </w:r>
      <w:r w:rsidR="00ED6DE9" w:rsidRPr="00422F49">
        <w:rPr>
          <w:rFonts w:ascii="Times New Roman"/>
          <w:i/>
          <w:iCs/>
          <w:sz w:val="20"/>
          <w:szCs w:val="20"/>
        </w:rPr>
        <w:t>,</w:t>
      </w:r>
      <w:r w:rsidR="00ED6DE9">
        <w:rPr>
          <w:rFonts w:ascii="Times New Roman"/>
          <w:sz w:val="20"/>
          <w:szCs w:val="20"/>
        </w:rPr>
        <w:t xml:space="preserve"> </w:t>
      </w:r>
      <w:r w:rsidR="00416DFC" w:rsidRPr="00416DFC">
        <w:rPr>
          <w:rFonts w:ascii="Times New Roman"/>
          <w:sz w:val="20"/>
          <w:szCs w:val="20"/>
        </w:rPr>
        <w:t>is a critical quality parameter, directly influencing product stability, microbial safety, and therapeutic efficacy</w:t>
      </w:r>
      <w:r w:rsidR="00ED6DE9">
        <w:rPr>
          <w:rFonts w:ascii="Times New Roman"/>
          <w:sz w:val="20"/>
          <w:szCs w:val="20"/>
        </w:rPr>
        <w:t xml:space="preserve">, and </w:t>
      </w:r>
      <w:r w:rsidR="00422F49">
        <w:rPr>
          <w:rFonts w:ascii="Times New Roman"/>
          <w:sz w:val="20"/>
          <w:szCs w:val="20"/>
        </w:rPr>
        <w:t>of course</w:t>
      </w:r>
      <w:r w:rsidR="00ED6DE9">
        <w:rPr>
          <w:rFonts w:ascii="Times New Roman"/>
          <w:sz w:val="20"/>
          <w:szCs w:val="20"/>
        </w:rPr>
        <w:t xml:space="preserve"> yield</w:t>
      </w:r>
      <w:r w:rsidR="00416DFC" w:rsidRPr="00416DFC">
        <w:rPr>
          <w:rFonts w:ascii="Times New Roman"/>
          <w:sz w:val="20"/>
          <w:szCs w:val="20"/>
        </w:rPr>
        <w:t xml:space="preserve"> [1]. Traditional methods, such as the vacuum Drying Oven (DO) outlined in the European Pharmacopoeia (</w:t>
      </w:r>
      <w:proofErr w:type="spellStart"/>
      <w:r w:rsidR="00416DFC" w:rsidRPr="00BE2176">
        <w:rPr>
          <w:rFonts w:ascii="Times New Roman"/>
          <w:i/>
          <w:iCs/>
          <w:sz w:val="20"/>
          <w:szCs w:val="20"/>
        </w:rPr>
        <w:t>Ph.Eur</w:t>
      </w:r>
      <w:proofErr w:type="spellEnd"/>
      <w:r w:rsidR="00416DFC" w:rsidRPr="00BE2176">
        <w:rPr>
          <w:rFonts w:ascii="Times New Roman"/>
          <w:i/>
          <w:iCs/>
          <w:sz w:val="20"/>
          <w:szCs w:val="20"/>
        </w:rPr>
        <w:t>. 2.2.32</w:t>
      </w:r>
      <w:r w:rsidR="00BE2176" w:rsidRPr="00BE2176">
        <w:rPr>
          <w:rFonts w:ascii="Times New Roman"/>
          <w:i/>
          <w:iCs/>
          <w:sz w:val="20"/>
          <w:szCs w:val="20"/>
        </w:rPr>
        <w:t xml:space="preserve"> and Cannabis</w:t>
      </w:r>
      <w:r w:rsidR="00BE2176" w:rsidRPr="005C0E2E">
        <w:rPr>
          <w:rFonts w:ascii="Times New Roman"/>
          <w:i/>
          <w:iCs/>
          <w:sz w:val="20"/>
          <w:szCs w:val="20"/>
        </w:rPr>
        <w:t xml:space="preserve"> Monograph No. 3028</w:t>
      </w:r>
      <w:r w:rsidR="00416DFC" w:rsidRPr="00416DFC">
        <w:rPr>
          <w:rFonts w:ascii="Times New Roman"/>
          <w:sz w:val="20"/>
          <w:szCs w:val="20"/>
        </w:rPr>
        <w:t xml:space="preserve">), remain the gold standard due to their specificity for free water measurement [2]. However, the DO’s lengthy 24-hour analysis time and manual handling requirements limit its practicality </w:t>
      </w:r>
      <w:r w:rsidR="00BE2176">
        <w:rPr>
          <w:rFonts w:ascii="Times New Roman"/>
          <w:sz w:val="20"/>
          <w:szCs w:val="20"/>
        </w:rPr>
        <w:t xml:space="preserve">as feasible In-Process Quality Control </w:t>
      </w:r>
      <w:r w:rsidR="00416DFC" w:rsidRPr="00416DFC">
        <w:rPr>
          <w:rFonts w:ascii="Times New Roman"/>
          <w:sz w:val="20"/>
          <w:szCs w:val="20"/>
        </w:rPr>
        <w:t xml:space="preserve">in high-throughput production environments [3]. In contrast, the Halogen Moisture Analyzer (HMA) offers rapid, automated results within </w:t>
      </w:r>
      <w:r w:rsidR="00C05B5D" w:rsidRPr="00416DFC">
        <w:rPr>
          <w:rFonts w:ascii="Times New Roman"/>
          <w:sz w:val="20"/>
          <w:szCs w:val="20"/>
        </w:rPr>
        <w:t>minutes</w:t>
      </w:r>
      <w:r w:rsidR="00C05B5D">
        <w:rPr>
          <w:rFonts w:ascii="Times New Roman"/>
          <w:sz w:val="20"/>
          <w:szCs w:val="20"/>
        </w:rPr>
        <w:t xml:space="preserve">, </w:t>
      </w:r>
      <w:r w:rsidR="00C05B5D" w:rsidRPr="00416DFC">
        <w:rPr>
          <w:rFonts w:ascii="Times New Roman"/>
          <w:sz w:val="20"/>
          <w:szCs w:val="20"/>
        </w:rPr>
        <w:t>and</w:t>
      </w:r>
      <w:r w:rsidR="00416DFC" w:rsidRPr="00416DFC">
        <w:rPr>
          <w:rFonts w:ascii="Times New Roman"/>
          <w:sz w:val="20"/>
          <w:szCs w:val="20"/>
        </w:rPr>
        <w:t xml:space="preserve"> </w:t>
      </w:r>
      <w:r w:rsidR="00BE2176">
        <w:rPr>
          <w:rFonts w:ascii="Times New Roman"/>
          <w:sz w:val="20"/>
          <w:szCs w:val="20"/>
        </w:rPr>
        <w:t xml:space="preserve">to achieve that, it </w:t>
      </w:r>
      <w:r w:rsidR="00416DFC" w:rsidRPr="00416DFC">
        <w:rPr>
          <w:rFonts w:ascii="Times New Roman"/>
          <w:sz w:val="20"/>
          <w:szCs w:val="20"/>
        </w:rPr>
        <w:t>operates at 105°C, raising concerns about its accuracy due to concurrent evaporation of volatile organic compounds (VOCs) such as terpenes and flavonoids [4]</w:t>
      </w:r>
      <w:r w:rsidR="007C058E">
        <w:rPr>
          <w:rFonts w:ascii="Times New Roman"/>
          <w:sz w:val="20"/>
          <w:szCs w:val="20"/>
        </w:rPr>
        <w:t xml:space="preserve">, </w:t>
      </w:r>
      <w:r w:rsidR="00416DFC" w:rsidRPr="00416DFC">
        <w:rPr>
          <w:rFonts w:ascii="Times New Roman"/>
          <w:sz w:val="20"/>
          <w:szCs w:val="20"/>
        </w:rPr>
        <w:t>[6].</w:t>
      </w:r>
    </w:p>
    <w:p w14:paraId="2A294EAA" w14:textId="77777777" w:rsidR="00416DFC" w:rsidRPr="00416DFC" w:rsidRDefault="00416DFC" w:rsidP="009D6D00">
      <w:pPr>
        <w:spacing w:after="0" w:line="240" w:lineRule="auto"/>
        <w:jc w:val="both"/>
        <w:rPr>
          <w:rFonts w:ascii="Times New Roman"/>
          <w:sz w:val="20"/>
          <w:szCs w:val="20"/>
        </w:rPr>
      </w:pPr>
    </w:p>
    <w:p w14:paraId="0DBB9658" w14:textId="479D672A" w:rsidR="00416DFC" w:rsidRPr="00416DFC" w:rsidRDefault="00416DFC" w:rsidP="00837B0B">
      <w:pPr>
        <w:spacing w:after="0" w:line="240" w:lineRule="auto"/>
        <w:jc w:val="both"/>
        <w:rPr>
          <w:rFonts w:ascii="Times New Roman"/>
          <w:sz w:val="20"/>
          <w:szCs w:val="20"/>
        </w:rPr>
      </w:pPr>
      <w:r w:rsidRPr="00416DFC">
        <w:rPr>
          <w:rFonts w:ascii="Times New Roman"/>
          <w:sz w:val="20"/>
          <w:szCs w:val="20"/>
        </w:rPr>
        <w:t>The cannabis industry faces a pressing challenge: balancing the need for rapid process monitoring</w:t>
      </w:r>
      <w:r w:rsidR="009D1B30">
        <w:rPr>
          <w:rFonts w:ascii="Times New Roman"/>
          <w:sz w:val="20"/>
          <w:szCs w:val="20"/>
        </w:rPr>
        <w:t xml:space="preserve"> for timely on-</w:t>
      </w:r>
      <w:r w:rsidR="00856472">
        <w:rPr>
          <w:rFonts w:ascii="Times New Roman"/>
          <w:sz w:val="20"/>
          <w:szCs w:val="20"/>
        </w:rPr>
        <w:t xml:space="preserve">site </w:t>
      </w:r>
      <w:r w:rsidR="00A305F2">
        <w:rPr>
          <w:rFonts w:ascii="Times New Roman"/>
          <w:sz w:val="20"/>
          <w:szCs w:val="20"/>
        </w:rPr>
        <w:t xml:space="preserve">process </w:t>
      </w:r>
      <w:r w:rsidR="00856472">
        <w:rPr>
          <w:rFonts w:ascii="Times New Roman"/>
          <w:sz w:val="20"/>
          <w:szCs w:val="20"/>
        </w:rPr>
        <w:t>decision</w:t>
      </w:r>
      <w:r w:rsidR="009D1B30">
        <w:rPr>
          <w:rFonts w:ascii="Times New Roman"/>
          <w:sz w:val="20"/>
          <w:szCs w:val="20"/>
        </w:rPr>
        <w:t xml:space="preserve"> </w:t>
      </w:r>
      <w:r w:rsidR="00C05B5D">
        <w:rPr>
          <w:rFonts w:ascii="Times New Roman"/>
          <w:sz w:val="20"/>
          <w:szCs w:val="20"/>
        </w:rPr>
        <w:t xml:space="preserve">making, </w:t>
      </w:r>
      <w:r w:rsidR="00C05B5D" w:rsidRPr="00416DFC">
        <w:rPr>
          <w:rFonts w:ascii="Times New Roman"/>
          <w:sz w:val="20"/>
          <w:szCs w:val="20"/>
        </w:rPr>
        <w:t>and</w:t>
      </w:r>
      <w:r w:rsidR="009D1B30">
        <w:rPr>
          <w:rFonts w:ascii="Times New Roman"/>
          <w:sz w:val="20"/>
          <w:szCs w:val="20"/>
        </w:rPr>
        <w:t xml:space="preserve"> to ensure</w:t>
      </w:r>
      <w:r w:rsidRPr="00416DFC">
        <w:rPr>
          <w:rFonts w:ascii="Times New Roman"/>
          <w:sz w:val="20"/>
          <w:szCs w:val="20"/>
        </w:rPr>
        <w:t xml:space="preserve"> regulatory compliance</w:t>
      </w:r>
      <w:r w:rsidR="009D1B30">
        <w:rPr>
          <w:rFonts w:ascii="Times New Roman"/>
          <w:sz w:val="20"/>
          <w:szCs w:val="20"/>
        </w:rPr>
        <w:t xml:space="preserve"> of the medicinal product</w:t>
      </w:r>
      <w:r w:rsidRPr="00416DFC">
        <w:rPr>
          <w:rFonts w:ascii="Times New Roman"/>
          <w:sz w:val="20"/>
          <w:szCs w:val="20"/>
        </w:rPr>
        <w:t xml:space="preserve">. While the HMA’s efficiency is advantageous for real-time </w:t>
      </w:r>
      <w:r w:rsidR="0027675E">
        <w:rPr>
          <w:rFonts w:ascii="Times New Roman"/>
          <w:sz w:val="20"/>
          <w:szCs w:val="20"/>
        </w:rPr>
        <w:t xml:space="preserve">process </w:t>
      </w:r>
      <w:r w:rsidRPr="00416DFC">
        <w:rPr>
          <w:rFonts w:ascii="Times New Roman"/>
          <w:sz w:val="20"/>
          <w:szCs w:val="20"/>
        </w:rPr>
        <w:t>adjustments during</w:t>
      </w:r>
      <w:r w:rsidR="0027675E">
        <w:rPr>
          <w:rFonts w:ascii="Times New Roman"/>
          <w:sz w:val="20"/>
          <w:szCs w:val="20"/>
        </w:rPr>
        <w:t xml:space="preserve"> drying and/or</w:t>
      </w:r>
      <w:r w:rsidRPr="00416DFC">
        <w:rPr>
          <w:rFonts w:ascii="Times New Roman"/>
          <w:sz w:val="20"/>
          <w:szCs w:val="20"/>
        </w:rPr>
        <w:t xml:space="preserve"> curing, its tendency to overestimate moisture content risks non-compliance with pharmacopeial thresholds (e.g. </w:t>
      </w:r>
      <w:proofErr w:type="spellStart"/>
      <w:r w:rsidRPr="00416DFC">
        <w:rPr>
          <w:rFonts w:ascii="Times New Roman"/>
          <w:sz w:val="20"/>
          <w:szCs w:val="20"/>
        </w:rPr>
        <w:t>Ph.Eur</w:t>
      </w:r>
      <w:proofErr w:type="spellEnd"/>
      <w:r w:rsidRPr="00416DFC">
        <w:rPr>
          <w:rFonts w:ascii="Times New Roman"/>
          <w:sz w:val="20"/>
          <w:szCs w:val="20"/>
        </w:rPr>
        <w:t xml:space="preserve">. </w:t>
      </w:r>
      <w:r w:rsidR="0027675E">
        <w:rPr>
          <w:rFonts w:ascii="Times New Roman"/>
          <w:sz w:val="20"/>
          <w:szCs w:val="20"/>
        </w:rPr>
        <w:t xml:space="preserve"> &lt;</w:t>
      </w:r>
      <w:r w:rsidRPr="00416DFC">
        <w:rPr>
          <w:rFonts w:ascii="Times New Roman"/>
          <w:sz w:val="20"/>
          <w:szCs w:val="20"/>
        </w:rPr>
        <w:t>12%MC) and potential over-drying, which degrades product quality [7</w:t>
      </w:r>
      <w:r w:rsidR="007C058E" w:rsidRPr="00416DFC">
        <w:rPr>
          <w:rFonts w:ascii="Times New Roman"/>
          <w:sz w:val="20"/>
          <w:szCs w:val="20"/>
        </w:rPr>
        <w:t>]</w:t>
      </w:r>
      <w:r w:rsidR="007C058E">
        <w:rPr>
          <w:rFonts w:ascii="Times New Roman"/>
          <w:sz w:val="20"/>
          <w:szCs w:val="20"/>
        </w:rPr>
        <w:t xml:space="preserve">, </w:t>
      </w:r>
      <w:r w:rsidRPr="00416DFC">
        <w:rPr>
          <w:rFonts w:ascii="Times New Roman"/>
          <w:sz w:val="20"/>
          <w:szCs w:val="20"/>
        </w:rPr>
        <w:t>[8]. Previous studies have highlighted similar discrepancies in botanical moisture analysis, where thermogravimetric methods conflate water loss with VOC evaporation [9</w:t>
      </w:r>
      <w:r w:rsidR="007C058E" w:rsidRPr="00416DFC">
        <w:rPr>
          <w:rFonts w:ascii="Times New Roman"/>
          <w:sz w:val="20"/>
          <w:szCs w:val="20"/>
        </w:rPr>
        <w:t>]</w:t>
      </w:r>
      <w:r w:rsidR="007C058E" w:rsidRPr="007C058E">
        <w:rPr>
          <w:rFonts w:ascii="Times New Roman"/>
          <w:sz w:val="20"/>
          <w:szCs w:val="20"/>
        </w:rPr>
        <w:t>,</w:t>
      </w:r>
      <w:r w:rsidR="007C058E" w:rsidRPr="00416DFC">
        <w:rPr>
          <w:rFonts w:ascii="Times New Roman"/>
          <w:sz w:val="20"/>
          <w:szCs w:val="20"/>
        </w:rPr>
        <w:t xml:space="preserve"> </w:t>
      </w:r>
      <w:r w:rsidRPr="00416DFC">
        <w:rPr>
          <w:rFonts w:ascii="Times New Roman"/>
          <w:sz w:val="20"/>
          <w:szCs w:val="20"/>
        </w:rPr>
        <w:t xml:space="preserve">[10]. However, a </w:t>
      </w:r>
      <w:r w:rsidRPr="00416DFC">
        <w:rPr>
          <w:rFonts w:ascii="Times New Roman"/>
          <w:sz w:val="20"/>
          <w:szCs w:val="20"/>
        </w:rPr>
        <w:lastRenderedPageBreak/>
        <w:t>systematic comparison of HMA and DO methods in cannabis—a matrix uniquely rich in heat-sensitive compounds—remains underexplored.</w:t>
      </w:r>
    </w:p>
    <w:p w14:paraId="7BD95D19" w14:textId="5C2186DA" w:rsidR="00416DFC" w:rsidRPr="00416DFC" w:rsidRDefault="00416DFC" w:rsidP="00837B0B">
      <w:pPr>
        <w:spacing w:after="0" w:line="240" w:lineRule="auto"/>
        <w:jc w:val="both"/>
        <w:rPr>
          <w:rFonts w:ascii="Times New Roman"/>
          <w:sz w:val="20"/>
          <w:szCs w:val="20"/>
        </w:rPr>
      </w:pPr>
      <w:r w:rsidRPr="00416DFC">
        <w:rPr>
          <w:rFonts w:ascii="Times New Roman"/>
          <w:sz w:val="20"/>
          <w:szCs w:val="20"/>
        </w:rPr>
        <w:t xml:space="preserve">This study addresses this gap by evaluating the precision, accuracy, and practical applicability of HMA </w:t>
      </w:r>
      <w:r w:rsidR="00DB4CEC">
        <w:rPr>
          <w:rFonts w:ascii="Times New Roman"/>
          <w:sz w:val="20"/>
          <w:szCs w:val="20"/>
        </w:rPr>
        <w:t>method as In-Process quality control compared to D</w:t>
      </w:r>
      <w:r w:rsidRPr="00416DFC">
        <w:rPr>
          <w:rFonts w:ascii="Times New Roman"/>
          <w:sz w:val="20"/>
          <w:szCs w:val="20"/>
        </w:rPr>
        <w:t>O method across 24 cannabis samples</w:t>
      </w:r>
      <w:r w:rsidR="009336C9">
        <w:rPr>
          <w:rFonts w:ascii="Times New Roman"/>
          <w:sz w:val="20"/>
          <w:szCs w:val="20"/>
        </w:rPr>
        <w:t xml:space="preserve"> of a single strain (Jack Herer)</w:t>
      </w:r>
      <w:r w:rsidRPr="00416DFC">
        <w:rPr>
          <w:rFonts w:ascii="Times New Roman"/>
          <w:sz w:val="20"/>
          <w:szCs w:val="20"/>
        </w:rPr>
        <w:t xml:space="preserve">. </w:t>
      </w:r>
      <w:r w:rsidR="009336C9">
        <w:rPr>
          <w:rFonts w:ascii="Times New Roman"/>
          <w:sz w:val="20"/>
          <w:szCs w:val="20"/>
        </w:rPr>
        <w:t>The k</w:t>
      </w:r>
      <w:r w:rsidRPr="00416DFC">
        <w:rPr>
          <w:rFonts w:ascii="Times New Roman"/>
          <w:sz w:val="20"/>
          <w:szCs w:val="20"/>
        </w:rPr>
        <w:t xml:space="preserve">ey objectives </w:t>
      </w:r>
      <w:r w:rsidR="009336C9">
        <w:rPr>
          <w:rFonts w:ascii="Times New Roman"/>
          <w:sz w:val="20"/>
          <w:szCs w:val="20"/>
        </w:rPr>
        <w:t>were to q</w:t>
      </w:r>
      <w:r w:rsidR="009336C9" w:rsidRPr="009336C9">
        <w:rPr>
          <w:rFonts w:ascii="Times New Roman"/>
          <w:sz w:val="20"/>
          <w:szCs w:val="20"/>
        </w:rPr>
        <w:t>uantify</w:t>
      </w:r>
      <w:r w:rsidR="009336C9">
        <w:rPr>
          <w:rFonts w:ascii="Times New Roman"/>
          <w:sz w:val="20"/>
          <w:szCs w:val="20"/>
        </w:rPr>
        <w:t xml:space="preserve"> the </w:t>
      </w:r>
      <w:r w:rsidR="009336C9" w:rsidRPr="009336C9">
        <w:rPr>
          <w:rFonts w:ascii="Times New Roman"/>
          <w:sz w:val="20"/>
          <w:szCs w:val="20"/>
        </w:rPr>
        <w:t>systematic difference in moisture content measurement</w:t>
      </w:r>
      <w:r w:rsidR="00193B6D">
        <w:rPr>
          <w:rFonts w:ascii="Times New Roman"/>
          <w:sz w:val="20"/>
          <w:szCs w:val="20"/>
        </w:rPr>
        <w:t xml:space="preserve"> results</w:t>
      </w:r>
      <w:r w:rsidR="009336C9">
        <w:rPr>
          <w:rFonts w:ascii="Times New Roman"/>
          <w:sz w:val="20"/>
          <w:szCs w:val="20"/>
        </w:rPr>
        <w:t>, to a</w:t>
      </w:r>
      <w:r w:rsidR="009336C9" w:rsidRPr="00416DFC">
        <w:rPr>
          <w:rFonts w:ascii="Times New Roman"/>
          <w:sz w:val="20"/>
          <w:szCs w:val="20"/>
        </w:rPr>
        <w:t>ssess the impact of</w:t>
      </w:r>
      <w:r w:rsidR="009336C9">
        <w:rPr>
          <w:rFonts w:ascii="Times New Roman"/>
          <w:sz w:val="20"/>
          <w:szCs w:val="20"/>
        </w:rPr>
        <w:t xml:space="preserve"> </w:t>
      </w:r>
      <w:r w:rsidR="009336C9" w:rsidRPr="00416DFC">
        <w:rPr>
          <w:rFonts w:ascii="Times New Roman"/>
          <w:sz w:val="20"/>
          <w:szCs w:val="20"/>
        </w:rPr>
        <w:t>sample heterogeneity</w:t>
      </w:r>
      <w:r w:rsidR="009336C9">
        <w:rPr>
          <w:rFonts w:ascii="Times New Roman"/>
          <w:sz w:val="20"/>
          <w:szCs w:val="20"/>
        </w:rPr>
        <w:t xml:space="preserve"> and </w:t>
      </w:r>
      <w:r w:rsidR="009336C9" w:rsidRPr="00416DFC">
        <w:rPr>
          <w:rFonts w:ascii="Times New Roman"/>
          <w:sz w:val="20"/>
          <w:szCs w:val="20"/>
        </w:rPr>
        <w:t>analyst variability</w:t>
      </w:r>
      <w:r w:rsidR="009336C9">
        <w:rPr>
          <w:rFonts w:ascii="Times New Roman"/>
          <w:sz w:val="20"/>
          <w:szCs w:val="20"/>
        </w:rPr>
        <w:t xml:space="preserve">. </w:t>
      </w:r>
    </w:p>
    <w:p w14:paraId="5CD58F7A" w14:textId="77777777" w:rsidR="00416DFC" w:rsidRDefault="00416DFC" w:rsidP="009D6D00">
      <w:pPr>
        <w:spacing w:after="0" w:line="240" w:lineRule="auto"/>
        <w:jc w:val="both"/>
        <w:rPr>
          <w:rFonts w:ascii="Times New Roman"/>
          <w:sz w:val="20"/>
          <w:szCs w:val="20"/>
        </w:rPr>
      </w:pPr>
    </w:p>
    <w:p w14:paraId="6ED68293" w14:textId="4C807886" w:rsidR="00CF47C4" w:rsidRPr="00A516D0" w:rsidRDefault="008A7684" w:rsidP="006A31B5">
      <w:pPr>
        <w:pStyle w:val="ListParagraph"/>
        <w:numPr>
          <w:ilvl w:val="0"/>
          <w:numId w:val="5"/>
        </w:numPr>
        <w:spacing w:after="0" w:line="240" w:lineRule="auto"/>
        <w:ind w:left="360" w:hanging="360"/>
        <w:jc w:val="center"/>
        <w:rPr>
          <w:rFonts w:ascii="Times New Roman"/>
          <w:b/>
          <w:szCs w:val="20"/>
        </w:rPr>
      </w:pPr>
      <w:r w:rsidRPr="00A516D0">
        <w:rPr>
          <w:rFonts w:ascii="Times New Roman"/>
          <w:b/>
          <w:szCs w:val="20"/>
        </w:rPr>
        <w:t>Material And Methods</w:t>
      </w:r>
    </w:p>
    <w:p w14:paraId="639CB008" w14:textId="423B6BAC" w:rsidR="009751A5" w:rsidRDefault="00FC2F0C" w:rsidP="005E1F83">
      <w:pPr>
        <w:pStyle w:val="ListParagraph"/>
        <w:spacing w:after="0" w:line="240" w:lineRule="auto"/>
        <w:ind w:left="0" w:firstLine="720"/>
        <w:jc w:val="both"/>
        <w:rPr>
          <w:rFonts w:ascii="Times New Roman"/>
          <w:bCs/>
          <w:sz w:val="20"/>
          <w:szCs w:val="20"/>
        </w:rPr>
      </w:pPr>
      <w:r>
        <w:rPr>
          <w:rFonts w:ascii="Times New Roman"/>
          <w:bCs/>
          <w:sz w:val="20"/>
          <w:szCs w:val="20"/>
        </w:rPr>
        <w:t xml:space="preserve">Bellow, </w:t>
      </w:r>
      <w:r w:rsidRPr="00FC2F0C">
        <w:rPr>
          <w:rFonts w:ascii="Times New Roman"/>
          <w:bCs/>
          <w:sz w:val="20"/>
          <w:szCs w:val="20"/>
        </w:rPr>
        <w:t xml:space="preserve">we detail the specialized instrumentation, protocols, and acceptance criteria employed to compare the HMA and the vacuum DO reference method for moisture determination in </w:t>
      </w:r>
      <w:r>
        <w:rPr>
          <w:rFonts w:ascii="Times New Roman"/>
          <w:bCs/>
          <w:sz w:val="20"/>
          <w:szCs w:val="20"/>
        </w:rPr>
        <w:t xml:space="preserve">dry </w:t>
      </w:r>
      <w:r w:rsidRPr="00FC2F0C">
        <w:rPr>
          <w:rFonts w:ascii="Times New Roman"/>
          <w:bCs/>
          <w:sz w:val="20"/>
          <w:szCs w:val="20"/>
        </w:rPr>
        <w:t>cannabis flowers. The study encompassed 24 homogenized cannabis samples, each collected at the estimated endpoint of the curing process during dry cannabis flower production. They were analyzed in parallel with HM</w:t>
      </w:r>
      <w:r w:rsidR="00193B6D">
        <w:rPr>
          <w:rFonts w:ascii="Times New Roman"/>
          <w:bCs/>
          <w:sz w:val="20"/>
          <w:szCs w:val="20"/>
        </w:rPr>
        <w:t>A</w:t>
      </w:r>
      <w:r w:rsidRPr="00FC2F0C">
        <w:rPr>
          <w:rFonts w:ascii="Times New Roman"/>
          <w:bCs/>
          <w:sz w:val="20"/>
          <w:szCs w:val="20"/>
        </w:rPr>
        <w:t xml:space="preserve"> and DO to evaluate accuracy, precision, and method bias. Table no.1 summarizes the equipment specifications, operating parameters, sample preparation steps, and acceptance criteria aligned with pharmacopeial guidelines, ensuring standardized conditions for reproducible data collection and robust statistical comparisons.</w:t>
      </w:r>
      <w:r w:rsidR="009D1B30" w:rsidRPr="009D1B30">
        <w:rPr>
          <w:rFonts w:ascii="Times New Roman"/>
          <w:bCs/>
          <w:sz w:val="20"/>
          <w:szCs w:val="20"/>
        </w:rPr>
        <w:t xml:space="preserve"> </w:t>
      </w:r>
    </w:p>
    <w:p w14:paraId="1DFE1310" w14:textId="77777777" w:rsidR="00FC2F0C" w:rsidRPr="009D1B30" w:rsidRDefault="00FC2F0C" w:rsidP="009D1B30">
      <w:pPr>
        <w:pStyle w:val="ListParagraph"/>
        <w:spacing w:after="0" w:line="240" w:lineRule="auto"/>
        <w:ind w:left="0"/>
        <w:jc w:val="both"/>
        <w:rPr>
          <w:rFonts w:ascii="Times New Roman"/>
          <w:bCs/>
          <w:sz w:val="20"/>
          <w:szCs w:val="20"/>
        </w:rPr>
      </w:pPr>
    </w:p>
    <w:p w14:paraId="0489148D" w14:textId="53C65EAE" w:rsidR="006A31B5" w:rsidRDefault="007D03E8" w:rsidP="006A31B5">
      <w:pPr>
        <w:pStyle w:val="ListParagraph"/>
        <w:spacing w:after="0" w:line="240" w:lineRule="auto"/>
        <w:ind w:left="0"/>
        <w:jc w:val="center"/>
        <w:rPr>
          <w:rFonts w:ascii="Times New Roman"/>
          <w:sz w:val="20"/>
          <w:szCs w:val="20"/>
        </w:rPr>
      </w:pPr>
      <w:r w:rsidRPr="007D03E8">
        <w:rPr>
          <w:rFonts w:ascii="Times New Roman"/>
          <w:b/>
          <w:sz w:val="20"/>
          <w:szCs w:val="20"/>
        </w:rPr>
        <w:t>Table no</w:t>
      </w:r>
      <w:r w:rsidR="009D1B30">
        <w:rPr>
          <w:rFonts w:ascii="Times New Roman"/>
          <w:b/>
          <w:sz w:val="20"/>
          <w:szCs w:val="20"/>
        </w:rPr>
        <w:t>.</w:t>
      </w:r>
      <w:r w:rsidRPr="007D03E8">
        <w:rPr>
          <w:rFonts w:ascii="Times New Roman"/>
          <w:b/>
          <w:sz w:val="20"/>
          <w:szCs w:val="20"/>
        </w:rPr>
        <w:t xml:space="preserve">1: </w:t>
      </w:r>
      <w:r>
        <w:rPr>
          <w:rFonts w:ascii="Times New Roman"/>
          <w:sz w:val="20"/>
          <w:szCs w:val="20"/>
        </w:rPr>
        <w:t>S</w:t>
      </w:r>
      <w:r w:rsidRPr="007D03E8">
        <w:rPr>
          <w:rFonts w:ascii="Times New Roman"/>
          <w:sz w:val="20"/>
          <w:szCs w:val="20"/>
        </w:rPr>
        <w:t>tructured overview</w:t>
      </w:r>
      <w:r>
        <w:rPr>
          <w:rFonts w:ascii="Times New Roman"/>
          <w:sz w:val="20"/>
          <w:szCs w:val="20"/>
        </w:rPr>
        <w:t xml:space="preserve"> of </w:t>
      </w:r>
      <w:r w:rsidRPr="007D03E8">
        <w:rPr>
          <w:rFonts w:ascii="Times New Roman"/>
          <w:sz w:val="20"/>
          <w:szCs w:val="20"/>
        </w:rPr>
        <w:t>Equipment</w:t>
      </w:r>
      <w:r>
        <w:rPr>
          <w:rFonts w:ascii="Times New Roman"/>
          <w:sz w:val="20"/>
          <w:szCs w:val="20"/>
        </w:rPr>
        <w:t xml:space="preserve"> used, </w:t>
      </w:r>
      <w:r w:rsidRPr="007D03E8">
        <w:rPr>
          <w:rFonts w:ascii="Times New Roman"/>
          <w:sz w:val="20"/>
          <w:szCs w:val="20"/>
        </w:rPr>
        <w:t>Method Parameters</w:t>
      </w:r>
      <w:r>
        <w:rPr>
          <w:rFonts w:ascii="Times New Roman"/>
          <w:sz w:val="20"/>
          <w:szCs w:val="20"/>
        </w:rPr>
        <w:t xml:space="preserve">, </w:t>
      </w:r>
      <w:r w:rsidRPr="007D03E8">
        <w:rPr>
          <w:rFonts w:ascii="Times New Roman"/>
          <w:sz w:val="20"/>
          <w:szCs w:val="20"/>
        </w:rPr>
        <w:t>Sample Preparation</w:t>
      </w:r>
      <w:r>
        <w:rPr>
          <w:rFonts w:ascii="Times New Roman"/>
          <w:sz w:val="20"/>
          <w:szCs w:val="20"/>
        </w:rPr>
        <w:t xml:space="preserve">, </w:t>
      </w:r>
    </w:p>
    <w:p w14:paraId="42958920" w14:textId="21CB04EF" w:rsidR="007D03E8" w:rsidRPr="007D03E8" w:rsidRDefault="007D03E8" w:rsidP="006A31B5">
      <w:pPr>
        <w:pStyle w:val="ListParagraph"/>
        <w:spacing w:after="0" w:line="240" w:lineRule="auto"/>
        <w:ind w:left="0"/>
        <w:jc w:val="center"/>
        <w:rPr>
          <w:rFonts w:ascii="Times New Roman"/>
          <w:sz w:val="20"/>
          <w:szCs w:val="20"/>
        </w:rPr>
      </w:pPr>
      <w:r w:rsidRPr="007D03E8">
        <w:rPr>
          <w:rFonts w:ascii="Times New Roman"/>
          <w:sz w:val="20"/>
          <w:szCs w:val="20"/>
        </w:rPr>
        <w:t>Experimental Procedure</w:t>
      </w:r>
      <w:r>
        <w:rPr>
          <w:rFonts w:ascii="Times New Roman"/>
          <w:sz w:val="20"/>
          <w:szCs w:val="20"/>
        </w:rPr>
        <w:t xml:space="preserve"> and </w:t>
      </w:r>
      <w:r w:rsidRPr="007D03E8">
        <w:rPr>
          <w:rFonts w:ascii="Times New Roman"/>
          <w:sz w:val="20"/>
          <w:szCs w:val="20"/>
        </w:rPr>
        <w:t>Acceptance Criteria</w:t>
      </w:r>
      <w:r>
        <w:rPr>
          <w:rFonts w:ascii="Times New Roman"/>
          <w:sz w:val="20"/>
          <w:szCs w:val="20"/>
        </w:rPr>
        <w:t xml:space="preserve"> for both HMA &amp; DO methods.</w:t>
      </w: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9"/>
        <w:gridCol w:w="3973"/>
        <w:gridCol w:w="4971"/>
      </w:tblGrid>
      <w:tr w:rsidR="007D03E8" w:rsidRPr="007D03E8" w14:paraId="5A9801C4" w14:textId="77777777" w:rsidTr="00C1056A">
        <w:trPr>
          <w:trHeight w:val="40"/>
          <w:jc w:val="center"/>
        </w:trPr>
        <w:tc>
          <w:tcPr>
            <w:tcW w:w="1279" w:type="dxa"/>
            <w:shd w:val="clear" w:color="auto" w:fill="BFBFBF" w:themeFill="background1" w:themeFillShade="BF"/>
            <w:vAlign w:val="center"/>
            <w:hideMark/>
          </w:tcPr>
          <w:p w14:paraId="7DBA624B" w14:textId="77777777" w:rsidR="007D03E8" w:rsidRPr="00B942E4" w:rsidRDefault="007D03E8" w:rsidP="005D38FE">
            <w:pPr>
              <w:spacing w:after="0" w:line="240" w:lineRule="auto"/>
              <w:contextualSpacing/>
              <w:jc w:val="center"/>
              <w:rPr>
                <w:rFonts w:ascii="Times New Roman"/>
                <w:b/>
                <w:bCs/>
                <w:sz w:val="16"/>
                <w:szCs w:val="16"/>
              </w:rPr>
            </w:pPr>
            <w:r w:rsidRPr="00B942E4">
              <w:rPr>
                <w:rFonts w:ascii="Times New Roman"/>
                <w:b/>
                <w:bCs/>
                <w:sz w:val="16"/>
                <w:szCs w:val="16"/>
              </w:rPr>
              <w:t>Category</w:t>
            </w:r>
          </w:p>
        </w:tc>
        <w:tc>
          <w:tcPr>
            <w:tcW w:w="3973" w:type="dxa"/>
            <w:shd w:val="clear" w:color="auto" w:fill="BFBFBF" w:themeFill="background1" w:themeFillShade="BF"/>
            <w:vAlign w:val="center"/>
            <w:hideMark/>
          </w:tcPr>
          <w:p w14:paraId="7259D6FF" w14:textId="77777777" w:rsidR="007D03E8" w:rsidRPr="00B942E4" w:rsidRDefault="007D03E8" w:rsidP="005D38FE">
            <w:pPr>
              <w:spacing w:after="0" w:line="240" w:lineRule="auto"/>
              <w:contextualSpacing/>
              <w:jc w:val="center"/>
              <w:rPr>
                <w:rFonts w:ascii="Times New Roman"/>
                <w:b/>
                <w:bCs/>
                <w:sz w:val="16"/>
                <w:szCs w:val="16"/>
              </w:rPr>
            </w:pPr>
            <w:r w:rsidRPr="00B942E4">
              <w:rPr>
                <w:rFonts w:ascii="Times New Roman"/>
                <w:b/>
                <w:bCs/>
                <w:sz w:val="16"/>
                <w:szCs w:val="16"/>
              </w:rPr>
              <w:t xml:space="preserve">HMA </w:t>
            </w:r>
            <w:r w:rsidRPr="007D03E8">
              <w:rPr>
                <w:rFonts w:ascii="Times New Roman"/>
                <w:b/>
                <w:bCs/>
                <w:sz w:val="16"/>
                <w:szCs w:val="16"/>
              </w:rPr>
              <w:t>Method</w:t>
            </w:r>
          </w:p>
        </w:tc>
        <w:tc>
          <w:tcPr>
            <w:tcW w:w="4971" w:type="dxa"/>
            <w:shd w:val="clear" w:color="auto" w:fill="BFBFBF" w:themeFill="background1" w:themeFillShade="BF"/>
            <w:vAlign w:val="center"/>
            <w:hideMark/>
          </w:tcPr>
          <w:p w14:paraId="7B99E94C" w14:textId="602F86B8" w:rsidR="007D03E8" w:rsidRPr="00B942E4" w:rsidRDefault="007D03E8" w:rsidP="005D38FE">
            <w:pPr>
              <w:spacing w:after="0" w:line="240" w:lineRule="auto"/>
              <w:contextualSpacing/>
              <w:jc w:val="center"/>
              <w:rPr>
                <w:rFonts w:ascii="Times New Roman"/>
                <w:b/>
                <w:bCs/>
                <w:sz w:val="16"/>
                <w:szCs w:val="16"/>
              </w:rPr>
            </w:pPr>
            <w:r w:rsidRPr="00B942E4">
              <w:rPr>
                <w:rFonts w:ascii="Times New Roman"/>
                <w:b/>
                <w:bCs/>
                <w:sz w:val="16"/>
                <w:szCs w:val="16"/>
              </w:rPr>
              <w:t xml:space="preserve">DO </w:t>
            </w:r>
            <w:r w:rsidRPr="007D03E8">
              <w:rPr>
                <w:rFonts w:ascii="Times New Roman"/>
                <w:b/>
                <w:bCs/>
                <w:sz w:val="16"/>
                <w:szCs w:val="16"/>
              </w:rPr>
              <w:t>Method</w:t>
            </w:r>
          </w:p>
        </w:tc>
      </w:tr>
      <w:tr w:rsidR="007D03E8" w:rsidRPr="007D03E8" w14:paraId="583C6C07" w14:textId="77777777" w:rsidTr="00C1056A">
        <w:trPr>
          <w:trHeight w:val="263"/>
          <w:jc w:val="center"/>
        </w:trPr>
        <w:tc>
          <w:tcPr>
            <w:tcW w:w="1279" w:type="dxa"/>
            <w:vAlign w:val="center"/>
            <w:hideMark/>
          </w:tcPr>
          <w:p w14:paraId="1488B178" w14:textId="1A503669" w:rsidR="007D03E8" w:rsidRPr="00B942E4" w:rsidRDefault="007D03E8" w:rsidP="005D38FE">
            <w:pPr>
              <w:spacing w:after="0" w:line="240" w:lineRule="auto"/>
              <w:contextualSpacing/>
              <w:jc w:val="center"/>
              <w:rPr>
                <w:rFonts w:ascii="Times New Roman"/>
                <w:sz w:val="16"/>
                <w:szCs w:val="16"/>
              </w:rPr>
            </w:pPr>
            <w:r>
              <w:rPr>
                <w:rFonts w:ascii="Times New Roman"/>
                <w:b/>
                <w:bCs/>
                <w:sz w:val="16"/>
                <w:szCs w:val="16"/>
              </w:rPr>
              <w:t>Equipment</w:t>
            </w:r>
          </w:p>
        </w:tc>
        <w:tc>
          <w:tcPr>
            <w:tcW w:w="3973" w:type="dxa"/>
            <w:vAlign w:val="center"/>
            <w:hideMark/>
          </w:tcPr>
          <w:p w14:paraId="5B0D0655" w14:textId="77777777" w:rsidR="007D03E8" w:rsidRPr="00B942E4" w:rsidRDefault="007D03E8" w:rsidP="005D38FE">
            <w:pPr>
              <w:spacing w:after="0" w:line="240" w:lineRule="auto"/>
              <w:contextualSpacing/>
              <w:jc w:val="center"/>
              <w:rPr>
                <w:rFonts w:ascii="Times New Roman"/>
                <w:sz w:val="16"/>
                <w:szCs w:val="16"/>
              </w:rPr>
            </w:pPr>
            <w:r w:rsidRPr="007D03E8">
              <w:rPr>
                <w:rFonts w:ascii="Times New Roman"/>
                <w:b/>
                <w:bCs/>
                <w:sz w:val="16"/>
                <w:szCs w:val="16"/>
              </w:rPr>
              <w:t>Halogen Moisture Analyzer:</w:t>
            </w:r>
            <w:r w:rsidRPr="007D03E8">
              <w:rPr>
                <w:rFonts w:ascii="Times New Roman"/>
                <w:sz w:val="16"/>
                <w:szCs w:val="16"/>
              </w:rPr>
              <w:t xml:space="preserve"> </w:t>
            </w:r>
            <w:r w:rsidRPr="00B942E4">
              <w:rPr>
                <w:rFonts w:ascii="Times New Roman"/>
                <w:sz w:val="16"/>
                <w:szCs w:val="16"/>
              </w:rPr>
              <w:t>Mettler Toledo HE73/01 (Serial No: C244177463</w:t>
            </w:r>
            <w:r w:rsidRPr="007D03E8">
              <w:rPr>
                <w:rFonts w:ascii="Times New Roman"/>
                <w:sz w:val="16"/>
                <w:szCs w:val="16"/>
              </w:rPr>
              <w:t xml:space="preserve">, </w:t>
            </w:r>
            <w:r w:rsidRPr="00B942E4">
              <w:rPr>
                <w:rFonts w:ascii="Times New Roman"/>
                <w:sz w:val="16"/>
                <w:szCs w:val="16"/>
              </w:rPr>
              <w:t>QC#003)</w:t>
            </w:r>
            <w:r w:rsidRPr="007D03E8">
              <w:rPr>
                <w:rFonts w:ascii="Times New Roman"/>
                <w:sz w:val="16"/>
                <w:szCs w:val="16"/>
              </w:rPr>
              <w:t>;</w:t>
            </w:r>
            <w:r w:rsidRPr="00B942E4">
              <w:rPr>
                <w:rFonts w:ascii="Times New Roman"/>
                <w:sz w:val="16"/>
                <w:szCs w:val="16"/>
              </w:rPr>
              <w:t xml:space="preserve"> Calibration Cert: V240148 (15.03.2024)</w:t>
            </w:r>
          </w:p>
        </w:tc>
        <w:tc>
          <w:tcPr>
            <w:tcW w:w="4971" w:type="dxa"/>
            <w:vAlign w:val="center"/>
            <w:hideMark/>
          </w:tcPr>
          <w:p w14:paraId="1DB8DE7F" w14:textId="12440D66" w:rsidR="007D03E8" w:rsidRPr="00B942E4" w:rsidRDefault="007D03E8" w:rsidP="005D38FE">
            <w:pPr>
              <w:spacing w:after="0" w:line="240" w:lineRule="auto"/>
              <w:contextualSpacing/>
              <w:jc w:val="center"/>
              <w:rPr>
                <w:rFonts w:ascii="Times New Roman"/>
                <w:sz w:val="16"/>
                <w:szCs w:val="16"/>
              </w:rPr>
            </w:pPr>
            <w:r w:rsidRPr="007D03E8">
              <w:rPr>
                <w:rFonts w:ascii="Times New Roman"/>
                <w:b/>
                <w:bCs/>
                <w:sz w:val="16"/>
                <w:szCs w:val="16"/>
              </w:rPr>
              <w:t>Drying Oven:</w:t>
            </w:r>
            <w:r w:rsidRPr="007D03E8">
              <w:rPr>
                <w:rFonts w:ascii="Times New Roman"/>
                <w:sz w:val="16"/>
                <w:szCs w:val="16"/>
              </w:rPr>
              <w:t xml:space="preserve"> </w:t>
            </w:r>
            <w:r w:rsidRPr="00B942E4">
              <w:rPr>
                <w:rFonts w:ascii="Times New Roman"/>
                <w:sz w:val="16"/>
                <w:szCs w:val="16"/>
              </w:rPr>
              <w:t>Binder VD56 (Serial No: 20230000006861, QC#007)</w:t>
            </w:r>
            <w:r w:rsidRPr="007D03E8">
              <w:rPr>
                <w:rFonts w:ascii="Times New Roman"/>
                <w:sz w:val="16"/>
                <w:szCs w:val="16"/>
              </w:rPr>
              <w:t xml:space="preserve">; </w:t>
            </w:r>
            <w:r w:rsidRPr="00B942E4">
              <w:rPr>
                <w:rFonts w:ascii="Times New Roman"/>
                <w:b/>
                <w:bCs/>
                <w:sz w:val="16"/>
                <w:szCs w:val="16"/>
              </w:rPr>
              <w:t>Analytical Scale:</w:t>
            </w:r>
            <w:r w:rsidRPr="00B942E4">
              <w:rPr>
                <w:rFonts w:ascii="Times New Roman"/>
                <w:sz w:val="16"/>
                <w:szCs w:val="16"/>
              </w:rPr>
              <w:t xml:space="preserve"> Mettler Toledo MS205DU (Serial No: C311839656, QC#001</w:t>
            </w:r>
            <w:r w:rsidRPr="007D03E8">
              <w:rPr>
                <w:rFonts w:ascii="Times New Roman"/>
                <w:sz w:val="16"/>
                <w:szCs w:val="16"/>
              </w:rPr>
              <w:t xml:space="preserve">; </w:t>
            </w:r>
            <w:r w:rsidRPr="00193B6D">
              <w:rPr>
                <w:rFonts w:ascii="Times New Roman"/>
                <w:sz w:val="16"/>
                <w:szCs w:val="16"/>
              </w:rPr>
              <w:t>Calibration Cert:</w:t>
            </w:r>
            <w:r w:rsidRPr="00B942E4">
              <w:rPr>
                <w:rFonts w:ascii="Times New Roman"/>
                <w:sz w:val="16"/>
                <w:szCs w:val="16"/>
              </w:rPr>
              <w:t xml:space="preserve"> V240146, 15.03.2024)</w:t>
            </w:r>
            <w:r w:rsidRPr="007D03E8">
              <w:rPr>
                <w:rFonts w:ascii="Times New Roman"/>
                <w:sz w:val="16"/>
                <w:szCs w:val="16"/>
              </w:rPr>
              <w:t>;</w:t>
            </w:r>
          </w:p>
        </w:tc>
      </w:tr>
      <w:tr w:rsidR="007D03E8" w:rsidRPr="007D03E8" w14:paraId="485B1B3D" w14:textId="77777777" w:rsidTr="00C1056A">
        <w:trPr>
          <w:trHeight w:val="216"/>
          <w:jc w:val="center"/>
        </w:trPr>
        <w:tc>
          <w:tcPr>
            <w:tcW w:w="1279" w:type="dxa"/>
            <w:vAlign w:val="center"/>
            <w:hideMark/>
          </w:tcPr>
          <w:p w14:paraId="210923BC" w14:textId="77777777" w:rsidR="007D03E8" w:rsidRPr="00B942E4" w:rsidRDefault="007D03E8" w:rsidP="005D38FE">
            <w:pPr>
              <w:spacing w:after="0" w:line="240" w:lineRule="auto"/>
              <w:contextualSpacing/>
              <w:jc w:val="center"/>
              <w:rPr>
                <w:rFonts w:ascii="Times New Roman"/>
                <w:sz w:val="16"/>
                <w:szCs w:val="16"/>
              </w:rPr>
            </w:pPr>
            <w:r w:rsidRPr="00B942E4">
              <w:rPr>
                <w:rFonts w:ascii="Times New Roman"/>
                <w:b/>
                <w:bCs/>
                <w:sz w:val="16"/>
                <w:szCs w:val="16"/>
              </w:rPr>
              <w:t>Method Parameters</w:t>
            </w:r>
          </w:p>
        </w:tc>
        <w:tc>
          <w:tcPr>
            <w:tcW w:w="3973" w:type="dxa"/>
            <w:vAlign w:val="center"/>
            <w:hideMark/>
          </w:tcPr>
          <w:p w14:paraId="76AC98F1" w14:textId="77777777" w:rsidR="007D03E8" w:rsidRPr="00B942E4" w:rsidRDefault="007D03E8" w:rsidP="005D38FE">
            <w:pPr>
              <w:spacing w:after="0" w:line="240" w:lineRule="auto"/>
              <w:contextualSpacing/>
              <w:jc w:val="center"/>
              <w:rPr>
                <w:rFonts w:ascii="Times New Roman"/>
                <w:sz w:val="16"/>
                <w:szCs w:val="16"/>
              </w:rPr>
            </w:pPr>
            <w:r w:rsidRPr="00B942E4">
              <w:rPr>
                <w:rFonts w:ascii="Times New Roman"/>
                <w:sz w:val="16"/>
                <w:szCs w:val="16"/>
              </w:rPr>
              <w:t>Sample Size: 2.0g ±10% Drying Program: Standard Temperature: 105°C</w:t>
            </w:r>
            <w:r w:rsidRPr="007D03E8">
              <w:rPr>
                <w:rFonts w:ascii="Times New Roman"/>
                <w:sz w:val="16"/>
                <w:szCs w:val="16"/>
              </w:rPr>
              <w:t>;</w:t>
            </w:r>
            <w:r w:rsidRPr="00B942E4">
              <w:rPr>
                <w:rFonts w:ascii="Times New Roman"/>
                <w:sz w:val="16"/>
                <w:szCs w:val="16"/>
              </w:rPr>
              <w:t xml:space="preserve"> Switch-Off Criterion: 0.001g/20s</w:t>
            </w:r>
          </w:p>
        </w:tc>
        <w:tc>
          <w:tcPr>
            <w:tcW w:w="4971" w:type="dxa"/>
            <w:vAlign w:val="center"/>
            <w:hideMark/>
          </w:tcPr>
          <w:p w14:paraId="567457DA" w14:textId="77777777" w:rsidR="007D03E8" w:rsidRPr="00B942E4" w:rsidRDefault="007D03E8" w:rsidP="005D38FE">
            <w:pPr>
              <w:spacing w:after="0" w:line="240" w:lineRule="auto"/>
              <w:contextualSpacing/>
              <w:jc w:val="center"/>
              <w:rPr>
                <w:rFonts w:ascii="Times New Roman"/>
                <w:sz w:val="16"/>
                <w:szCs w:val="16"/>
              </w:rPr>
            </w:pPr>
            <w:r w:rsidRPr="00B942E4">
              <w:rPr>
                <w:rFonts w:ascii="Times New Roman"/>
                <w:sz w:val="16"/>
                <w:szCs w:val="16"/>
              </w:rPr>
              <w:t>Sample Size: ~1.0000g Temperature: 40°C Pressure: 20 mbar (15-25 mbar) Drying Duration: 24 hours (</w:t>
            </w:r>
            <w:proofErr w:type="spellStart"/>
            <w:proofErr w:type="gramStart"/>
            <w:r w:rsidRPr="00B942E4">
              <w:rPr>
                <w:rFonts w:ascii="Times New Roman"/>
                <w:sz w:val="16"/>
                <w:szCs w:val="16"/>
              </w:rPr>
              <w:t>Ph.Eur</w:t>
            </w:r>
            <w:proofErr w:type="spellEnd"/>
            <w:proofErr w:type="gramEnd"/>
            <w:r w:rsidRPr="00B942E4">
              <w:rPr>
                <w:rFonts w:ascii="Times New Roman"/>
                <w:sz w:val="16"/>
                <w:szCs w:val="16"/>
              </w:rPr>
              <w:t xml:space="preserve"> 2.2.32, Cannabis Monograph No. 3028)</w:t>
            </w:r>
          </w:p>
        </w:tc>
      </w:tr>
      <w:tr w:rsidR="006C6CD2" w:rsidRPr="007D03E8" w14:paraId="12073D6F" w14:textId="77777777" w:rsidTr="005D38FE">
        <w:trPr>
          <w:trHeight w:val="174"/>
          <w:jc w:val="center"/>
        </w:trPr>
        <w:tc>
          <w:tcPr>
            <w:tcW w:w="1279" w:type="dxa"/>
            <w:vAlign w:val="center"/>
            <w:hideMark/>
          </w:tcPr>
          <w:p w14:paraId="6A30D337" w14:textId="77777777" w:rsidR="006C6CD2" w:rsidRPr="00B942E4" w:rsidRDefault="006C6CD2" w:rsidP="005D38FE">
            <w:pPr>
              <w:spacing w:after="0" w:line="240" w:lineRule="auto"/>
              <w:contextualSpacing/>
              <w:jc w:val="center"/>
              <w:rPr>
                <w:rFonts w:ascii="Times New Roman"/>
                <w:sz w:val="16"/>
                <w:szCs w:val="16"/>
              </w:rPr>
            </w:pPr>
            <w:r w:rsidRPr="00B942E4">
              <w:rPr>
                <w:rFonts w:ascii="Times New Roman"/>
                <w:b/>
                <w:bCs/>
                <w:sz w:val="16"/>
                <w:szCs w:val="16"/>
              </w:rPr>
              <w:t>Sample Preparation</w:t>
            </w:r>
          </w:p>
        </w:tc>
        <w:tc>
          <w:tcPr>
            <w:tcW w:w="8944" w:type="dxa"/>
            <w:gridSpan w:val="2"/>
            <w:vAlign w:val="center"/>
            <w:hideMark/>
          </w:tcPr>
          <w:p w14:paraId="7152D6CC" w14:textId="416471DD" w:rsidR="006C6CD2" w:rsidRPr="00B942E4" w:rsidRDefault="006C6CD2" w:rsidP="005D38FE">
            <w:pPr>
              <w:spacing w:after="0" w:line="240" w:lineRule="auto"/>
              <w:contextualSpacing/>
              <w:jc w:val="center"/>
              <w:rPr>
                <w:rFonts w:ascii="Times New Roman"/>
                <w:sz w:val="16"/>
                <w:szCs w:val="16"/>
              </w:rPr>
            </w:pPr>
            <w:r>
              <w:rPr>
                <w:rFonts w:ascii="Times New Roman"/>
                <w:sz w:val="16"/>
                <w:szCs w:val="16"/>
              </w:rPr>
              <w:t xml:space="preserve">Uniformly </w:t>
            </w:r>
            <w:r w:rsidRPr="00B942E4">
              <w:rPr>
                <w:rFonts w:ascii="Times New Roman"/>
                <w:sz w:val="16"/>
                <w:szCs w:val="16"/>
              </w:rPr>
              <w:t>Milled</w:t>
            </w:r>
            <w:r>
              <w:rPr>
                <w:rFonts w:ascii="Times New Roman"/>
                <w:sz w:val="16"/>
                <w:szCs w:val="16"/>
              </w:rPr>
              <w:t xml:space="preserve"> (but not powdered) </w:t>
            </w:r>
            <w:r w:rsidRPr="00B942E4">
              <w:rPr>
                <w:rFonts w:ascii="Times New Roman"/>
                <w:sz w:val="16"/>
                <w:szCs w:val="16"/>
              </w:rPr>
              <w:t>cannabis flower (~10g)</w:t>
            </w:r>
            <w:r>
              <w:rPr>
                <w:rFonts w:ascii="Times New Roman"/>
                <w:sz w:val="16"/>
                <w:szCs w:val="16"/>
              </w:rPr>
              <w:t>.</w:t>
            </w:r>
            <w:r w:rsidRPr="00B942E4">
              <w:rPr>
                <w:rFonts w:ascii="Times New Roman"/>
                <w:sz w:val="16"/>
                <w:szCs w:val="16"/>
              </w:rPr>
              <w:t xml:space="preserve"> Homogenized and stored in airtight containers </w:t>
            </w:r>
            <w:r>
              <w:rPr>
                <w:rFonts w:ascii="Times New Roman"/>
                <w:sz w:val="16"/>
                <w:szCs w:val="16"/>
              </w:rPr>
              <w:t>samples were sampled for the HMA and DO at the same time and a</w:t>
            </w:r>
            <w:r w:rsidRPr="00B942E4">
              <w:rPr>
                <w:rFonts w:ascii="Times New Roman"/>
                <w:sz w:val="16"/>
                <w:szCs w:val="16"/>
              </w:rPr>
              <w:t>nalyzed promptly</w:t>
            </w:r>
            <w:r>
              <w:rPr>
                <w:rFonts w:ascii="Times New Roman"/>
                <w:sz w:val="16"/>
                <w:szCs w:val="16"/>
              </w:rPr>
              <w:t xml:space="preserve"> </w:t>
            </w:r>
            <w:r w:rsidRPr="00B942E4">
              <w:rPr>
                <w:rFonts w:ascii="Times New Roman"/>
                <w:sz w:val="16"/>
                <w:szCs w:val="16"/>
              </w:rPr>
              <w:t>to maintain integrity</w:t>
            </w:r>
          </w:p>
        </w:tc>
      </w:tr>
      <w:tr w:rsidR="007D03E8" w:rsidRPr="007D03E8" w14:paraId="78955F39" w14:textId="77777777" w:rsidTr="00C1056A">
        <w:trPr>
          <w:trHeight w:val="309"/>
          <w:jc w:val="center"/>
        </w:trPr>
        <w:tc>
          <w:tcPr>
            <w:tcW w:w="1279" w:type="dxa"/>
            <w:vAlign w:val="center"/>
            <w:hideMark/>
          </w:tcPr>
          <w:p w14:paraId="3ACC7F66" w14:textId="77777777" w:rsidR="007D03E8" w:rsidRPr="00B942E4" w:rsidRDefault="007D03E8" w:rsidP="005D38FE">
            <w:pPr>
              <w:spacing w:after="0" w:line="240" w:lineRule="auto"/>
              <w:contextualSpacing/>
              <w:jc w:val="center"/>
              <w:rPr>
                <w:rFonts w:ascii="Times New Roman"/>
                <w:sz w:val="16"/>
                <w:szCs w:val="16"/>
              </w:rPr>
            </w:pPr>
            <w:r w:rsidRPr="00B942E4">
              <w:rPr>
                <w:rFonts w:ascii="Times New Roman"/>
                <w:b/>
                <w:bCs/>
                <w:sz w:val="16"/>
                <w:szCs w:val="16"/>
              </w:rPr>
              <w:t>Experimental Procedure</w:t>
            </w:r>
          </w:p>
        </w:tc>
        <w:tc>
          <w:tcPr>
            <w:tcW w:w="3973" w:type="dxa"/>
            <w:vAlign w:val="center"/>
            <w:hideMark/>
          </w:tcPr>
          <w:p w14:paraId="52404F1C" w14:textId="77777777" w:rsidR="007D03E8" w:rsidRPr="00B942E4" w:rsidRDefault="007D03E8" w:rsidP="005D38FE">
            <w:pPr>
              <w:spacing w:after="0" w:line="240" w:lineRule="auto"/>
              <w:contextualSpacing/>
              <w:jc w:val="center"/>
              <w:rPr>
                <w:rFonts w:ascii="Times New Roman"/>
                <w:sz w:val="16"/>
                <w:szCs w:val="16"/>
              </w:rPr>
            </w:pPr>
            <w:r w:rsidRPr="00B942E4">
              <w:rPr>
                <w:rFonts w:ascii="Times New Roman"/>
                <w:sz w:val="16"/>
                <w:szCs w:val="16"/>
              </w:rPr>
              <w:t>2.0g ±10% sample placed in an aluminum pan Drying at 105°C until weight loss stabilized Conducted by two analysts at different times (morning/evening)</w:t>
            </w:r>
          </w:p>
        </w:tc>
        <w:tc>
          <w:tcPr>
            <w:tcW w:w="4971" w:type="dxa"/>
            <w:vAlign w:val="center"/>
            <w:hideMark/>
          </w:tcPr>
          <w:p w14:paraId="0827C3F6" w14:textId="76A36B1C" w:rsidR="007D03E8" w:rsidRPr="00B942E4" w:rsidRDefault="007D03E8" w:rsidP="005D38FE">
            <w:pPr>
              <w:spacing w:after="0" w:line="240" w:lineRule="auto"/>
              <w:contextualSpacing/>
              <w:jc w:val="center"/>
              <w:rPr>
                <w:rFonts w:ascii="Times New Roman"/>
                <w:sz w:val="16"/>
                <w:szCs w:val="16"/>
              </w:rPr>
            </w:pPr>
            <w:r w:rsidRPr="00B942E4">
              <w:rPr>
                <w:rFonts w:ascii="Times New Roman"/>
                <w:sz w:val="16"/>
                <w:szCs w:val="16"/>
              </w:rPr>
              <w:t>~1.000</w:t>
            </w:r>
            <w:r w:rsidR="00C1056A">
              <w:rPr>
                <w:rFonts w:ascii="Times New Roman"/>
                <w:sz w:val="16"/>
                <w:szCs w:val="16"/>
              </w:rPr>
              <w:t>0</w:t>
            </w:r>
            <w:r w:rsidRPr="00B942E4">
              <w:rPr>
                <w:rFonts w:ascii="Times New Roman"/>
                <w:sz w:val="16"/>
                <w:szCs w:val="16"/>
              </w:rPr>
              <w:t>0g sample dried at 40°C, 20 mbar for 24 hours</w:t>
            </w:r>
            <w:r w:rsidRPr="007D03E8">
              <w:rPr>
                <w:rFonts w:ascii="Times New Roman"/>
                <w:sz w:val="16"/>
                <w:szCs w:val="16"/>
              </w:rPr>
              <w:t>;</w:t>
            </w:r>
            <w:r w:rsidRPr="00B942E4">
              <w:rPr>
                <w:rFonts w:ascii="Times New Roman"/>
                <w:sz w:val="16"/>
                <w:szCs w:val="16"/>
              </w:rPr>
              <w:t xml:space="preserve"> Samples cooled in a desiccator and weighed on an analytical scale</w:t>
            </w:r>
            <w:r w:rsidRPr="007D03E8">
              <w:rPr>
                <w:rFonts w:ascii="Times New Roman"/>
                <w:sz w:val="16"/>
                <w:szCs w:val="16"/>
              </w:rPr>
              <w:t xml:space="preserve"> (as described in </w:t>
            </w:r>
            <w:proofErr w:type="spellStart"/>
            <w:proofErr w:type="gramStart"/>
            <w:r w:rsidRPr="00B942E4">
              <w:rPr>
                <w:rFonts w:ascii="Times New Roman"/>
                <w:sz w:val="16"/>
                <w:szCs w:val="16"/>
              </w:rPr>
              <w:t>Ph.Eur</w:t>
            </w:r>
            <w:proofErr w:type="spellEnd"/>
            <w:proofErr w:type="gramEnd"/>
            <w:r w:rsidRPr="00B942E4">
              <w:rPr>
                <w:rFonts w:ascii="Times New Roman"/>
                <w:sz w:val="16"/>
                <w:szCs w:val="16"/>
              </w:rPr>
              <w:t xml:space="preserve"> 2.2.32</w:t>
            </w:r>
            <w:r w:rsidRPr="007D03E8">
              <w:rPr>
                <w:rFonts w:ascii="Times New Roman"/>
                <w:sz w:val="16"/>
                <w:szCs w:val="16"/>
              </w:rPr>
              <w:t xml:space="preserve"> </w:t>
            </w:r>
            <w:proofErr w:type="spellStart"/>
            <w:r w:rsidRPr="007D03E8">
              <w:rPr>
                <w:rFonts w:ascii="Times New Roman"/>
                <w:sz w:val="16"/>
                <w:szCs w:val="16"/>
              </w:rPr>
              <w:t>LoD</w:t>
            </w:r>
            <w:proofErr w:type="spellEnd"/>
            <w:r w:rsidRPr="007D03E8">
              <w:rPr>
                <w:rFonts w:ascii="Times New Roman"/>
                <w:sz w:val="16"/>
                <w:szCs w:val="16"/>
              </w:rPr>
              <w:t>).</w:t>
            </w:r>
            <w:r w:rsidRPr="00B942E4">
              <w:rPr>
                <w:rFonts w:ascii="Times New Roman"/>
                <w:sz w:val="16"/>
                <w:szCs w:val="16"/>
              </w:rPr>
              <w:t xml:space="preserve"> Conducted by a single analyst in one session</w:t>
            </w:r>
          </w:p>
        </w:tc>
      </w:tr>
      <w:tr w:rsidR="007D03E8" w:rsidRPr="007D03E8" w14:paraId="4A1BA8A6" w14:textId="77777777" w:rsidTr="00C1056A">
        <w:trPr>
          <w:trHeight w:val="108"/>
          <w:jc w:val="center"/>
        </w:trPr>
        <w:tc>
          <w:tcPr>
            <w:tcW w:w="1279" w:type="dxa"/>
            <w:vAlign w:val="center"/>
            <w:hideMark/>
          </w:tcPr>
          <w:p w14:paraId="15730A04" w14:textId="77777777" w:rsidR="007D03E8" w:rsidRPr="00B942E4" w:rsidRDefault="007D03E8" w:rsidP="005D38FE">
            <w:pPr>
              <w:spacing w:after="0" w:line="240" w:lineRule="auto"/>
              <w:contextualSpacing/>
              <w:jc w:val="center"/>
              <w:rPr>
                <w:rFonts w:ascii="Times New Roman"/>
                <w:sz w:val="16"/>
                <w:szCs w:val="16"/>
              </w:rPr>
            </w:pPr>
            <w:r w:rsidRPr="00B942E4">
              <w:rPr>
                <w:rFonts w:ascii="Times New Roman"/>
                <w:b/>
                <w:bCs/>
                <w:sz w:val="16"/>
                <w:szCs w:val="16"/>
              </w:rPr>
              <w:t>Parallel Analysis &amp; Data Collection</w:t>
            </w:r>
          </w:p>
        </w:tc>
        <w:tc>
          <w:tcPr>
            <w:tcW w:w="3973" w:type="dxa"/>
            <w:vAlign w:val="center"/>
            <w:hideMark/>
          </w:tcPr>
          <w:p w14:paraId="7953FC1D" w14:textId="5078087C" w:rsidR="007D03E8" w:rsidRPr="00B942E4" w:rsidRDefault="007D03E8" w:rsidP="005D38FE">
            <w:pPr>
              <w:spacing w:after="0" w:line="240" w:lineRule="auto"/>
              <w:contextualSpacing/>
              <w:jc w:val="center"/>
              <w:rPr>
                <w:rFonts w:ascii="Times New Roman"/>
                <w:sz w:val="16"/>
                <w:szCs w:val="16"/>
              </w:rPr>
            </w:pPr>
            <w:r w:rsidRPr="00B942E4">
              <w:rPr>
                <w:rFonts w:ascii="Times New Roman"/>
                <w:sz w:val="16"/>
                <w:szCs w:val="16"/>
              </w:rPr>
              <w:t xml:space="preserve">Tested in parallel with DO method </w:t>
            </w:r>
            <w:r w:rsidR="00C1056A">
              <w:rPr>
                <w:rFonts w:ascii="Times New Roman"/>
                <w:sz w:val="16"/>
                <w:szCs w:val="16"/>
              </w:rPr>
              <w:t xml:space="preserve">and </w:t>
            </w:r>
            <w:proofErr w:type="spellStart"/>
            <w:r w:rsidR="00C1056A">
              <w:rPr>
                <w:rFonts w:ascii="Times New Roman"/>
                <w:sz w:val="16"/>
                <w:szCs w:val="16"/>
              </w:rPr>
              <w:t>LoD</w:t>
            </w:r>
            <w:proofErr w:type="spellEnd"/>
            <w:r w:rsidRPr="00B942E4">
              <w:rPr>
                <w:rFonts w:ascii="Times New Roman"/>
                <w:sz w:val="16"/>
                <w:szCs w:val="16"/>
              </w:rPr>
              <w:t xml:space="preserve"> values recorded for direct comparison</w:t>
            </w:r>
          </w:p>
        </w:tc>
        <w:tc>
          <w:tcPr>
            <w:tcW w:w="4971" w:type="dxa"/>
            <w:vAlign w:val="center"/>
            <w:hideMark/>
          </w:tcPr>
          <w:p w14:paraId="25FBDB60" w14:textId="51305E1B" w:rsidR="007D03E8" w:rsidRPr="00B942E4" w:rsidRDefault="007D03E8" w:rsidP="005D38FE">
            <w:pPr>
              <w:spacing w:after="0" w:line="240" w:lineRule="auto"/>
              <w:contextualSpacing/>
              <w:jc w:val="center"/>
              <w:rPr>
                <w:rFonts w:ascii="Times New Roman"/>
                <w:sz w:val="16"/>
                <w:szCs w:val="16"/>
              </w:rPr>
            </w:pPr>
            <w:r w:rsidRPr="00B942E4">
              <w:rPr>
                <w:rFonts w:ascii="Times New Roman"/>
                <w:sz w:val="16"/>
                <w:szCs w:val="16"/>
              </w:rPr>
              <w:t xml:space="preserve">Tested in parallel with HMA method </w:t>
            </w:r>
            <w:r w:rsidR="00C1056A">
              <w:rPr>
                <w:rFonts w:ascii="Times New Roman"/>
                <w:sz w:val="16"/>
                <w:szCs w:val="16"/>
              </w:rPr>
              <w:t xml:space="preserve">and </w:t>
            </w:r>
            <w:proofErr w:type="spellStart"/>
            <w:r w:rsidR="00C1056A">
              <w:rPr>
                <w:rFonts w:ascii="Times New Roman"/>
                <w:sz w:val="16"/>
                <w:szCs w:val="16"/>
              </w:rPr>
              <w:t>LoD</w:t>
            </w:r>
            <w:proofErr w:type="spellEnd"/>
            <w:r w:rsidRPr="00B942E4">
              <w:rPr>
                <w:rFonts w:ascii="Times New Roman"/>
                <w:sz w:val="16"/>
                <w:szCs w:val="16"/>
              </w:rPr>
              <w:t xml:space="preserve"> values recorded for direct comparison</w:t>
            </w:r>
          </w:p>
        </w:tc>
      </w:tr>
      <w:tr w:rsidR="007D03E8" w:rsidRPr="007D03E8" w14:paraId="29A4CD21" w14:textId="77777777" w:rsidTr="00C1056A">
        <w:trPr>
          <w:trHeight w:val="128"/>
          <w:jc w:val="center"/>
        </w:trPr>
        <w:tc>
          <w:tcPr>
            <w:tcW w:w="1279" w:type="dxa"/>
            <w:vAlign w:val="center"/>
            <w:hideMark/>
          </w:tcPr>
          <w:p w14:paraId="2221B9AE" w14:textId="57C2BED2" w:rsidR="007D03E8" w:rsidRDefault="007D03E8" w:rsidP="005D38FE">
            <w:pPr>
              <w:spacing w:after="0" w:line="240" w:lineRule="auto"/>
              <w:contextualSpacing/>
              <w:jc w:val="center"/>
              <w:rPr>
                <w:rFonts w:ascii="Times New Roman"/>
                <w:b/>
                <w:bCs/>
                <w:sz w:val="16"/>
                <w:szCs w:val="16"/>
              </w:rPr>
            </w:pPr>
            <w:r w:rsidRPr="00B942E4">
              <w:rPr>
                <w:rFonts w:ascii="Times New Roman"/>
                <w:b/>
                <w:bCs/>
                <w:sz w:val="16"/>
                <w:szCs w:val="16"/>
              </w:rPr>
              <w:t>Acceptance Criteria</w:t>
            </w:r>
          </w:p>
          <w:p w14:paraId="02DD05BB" w14:textId="77777777" w:rsidR="007D03E8" w:rsidRPr="00B942E4" w:rsidRDefault="007D03E8" w:rsidP="005D38FE">
            <w:pPr>
              <w:spacing w:after="0" w:line="240" w:lineRule="auto"/>
              <w:contextualSpacing/>
              <w:jc w:val="center"/>
              <w:rPr>
                <w:rFonts w:ascii="Times New Roman"/>
                <w:sz w:val="16"/>
                <w:szCs w:val="16"/>
              </w:rPr>
            </w:pPr>
            <w:r w:rsidRPr="00B942E4">
              <w:rPr>
                <w:rFonts w:ascii="Times New Roman"/>
                <w:b/>
                <w:bCs/>
                <w:sz w:val="16"/>
                <w:szCs w:val="16"/>
              </w:rPr>
              <w:t>for HMA Method</w:t>
            </w:r>
          </w:p>
        </w:tc>
        <w:tc>
          <w:tcPr>
            <w:tcW w:w="3973" w:type="dxa"/>
            <w:vAlign w:val="center"/>
            <w:hideMark/>
          </w:tcPr>
          <w:p w14:paraId="74318F47" w14:textId="651F640A" w:rsidR="007D03E8" w:rsidRPr="007D03E8" w:rsidRDefault="007D03E8" w:rsidP="005D38FE">
            <w:pPr>
              <w:spacing w:after="0" w:line="240" w:lineRule="auto"/>
              <w:contextualSpacing/>
              <w:jc w:val="center"/>
              <w:rPr>
                <w:rFonts w:ascii="Times New Roman"/>
                <w:sz w:val="16"/>
                <w:szCs w:val="16"/>
              </w:rPr>
            </w:pPr>
            <w:r w:rsidRPr="00B942E4">
              <w:rPr>
                <w:rFonts w:ascii="Times New Roman"/>
                <w:b/>
                <w:bCs/>
                <w:sz w:val="16"/>
                <w:szCs w:val="16"/>
              </w:rPr>
              <w:t>Accuracy Based on Absolute %MC Difference:</w:t>
            </w:r>
          </w:p>
          <w:p w14:paraId="2C52876A" w14:textId="4E2FB6C1" w:rsidR="007D03E8" w:rsidRPr="00B942E4" w:rsidRDefault="007D03E8" w:rsidP="005D38FE">
            <w:pPr>
              <w:spacing w:after="0" w:line="240" w:lineRule="auto"/>
              <w:contextualSpacing/>
              <w:jc w:val="center"/>
              <w:rPr>
                <w:rFonts w:ascii="Times New Roman"/>
                <w:color w:val="000000" w:themeColor="text1"/>
                <w:sz w:val="16"/>
                <w:szCs w:val="16"/>
              </w:rPr>
            </w:pPr>
            <w:bookmarkStart w:id="0" w:name="_Hlk191583104"/>
            <w:r w:rsidRPr="00B942E4">
              <w:rPr>
                <w:rFonts w:ascii="Times New Roman"/>
                <w:i/>
                <w:iCs/>
                <w:color w:val="000000" w:themeColor="text1"/>
                <w:sz w:val="16"/>
                <w:szCs w:val="16"/>
              </w:rPr>
              <w:t>Excellent:</w:t>
            </w:r>
            <w:r w:rsidRPr="00B942E4">
              <w:rPr>
                <w:rFonts w:ascii="Times New Roman"/>
                <w:color w:val="000000" w:themeColor="text1"/>
                <w:sz w:val="16"/>
                <w:szCs w:val="16"/>
              </w:rPr>
              <w:t xml:space="preserve"> ∆%MC ≤ </w:t>
            </w:r>
            <w:r w:rsidRPr="008A5DFD">
              <w:rPr>
                <w:rFonts w:ascii="Times New Roman"/>
                <w:color w:val="000000" w:themeColor="text1"/>
                <w:sz w:val="16"/>
                <w:szCs w:val="16"/>
              </w:rPr>
              <w:t>0.1</w:t>
            </w:r>
            <w:r w:rsidRPr="00B942E4">
              <w:rPr>
                <w:rFonts w:ascii="Times New Roman"/>
                <w:color w:val="000000" w:themeColor="text1"/>
                <w:sz w:val="16"/>
                <w:szCs w:val="16"/>
              </w:rPr>
              <w:t xml:space="preserve">% </w:t>
            </w:r>
            <w:r w:rsidRPr="00B942E4">
              <w:rPr>
                <w:rFonts w:ascii="Times New Roman"/>
                <w:i/>
                <w:iCs/>
                <w:color w:val="000000" w:themeColor="text1"/>
                <w:sz w:val="16"/>
                <w:szCs w:val="16"/>
              </w:rPr>
              <w:t>Good:</w:t>
            </w:r>
            <w:r w:rsidRPr="00B942E4">
              <w:rPr>
                <w:rFonts w:ascii="Times New Roman"/>
                <w:color w:val="000000" w:themeColor="text1"/>
                <w:sz w:val="16"/>
                <w:szCs w:val="16"/>
              </w:rPr>
              <w:t xml:space="preserve"> </w:t>
            </w:r>
            <w:r w:rsidR="008572D4" w:rsidRPr="008A5DFD">
              <w:rPr>
                <w:rFonts w:ascii="Times New Roman"/>
                <w:color w:val="000000" w:themeColor="text1"/>
                <w:sz w:val="16"/>
                <w:szCs w:val="16"/>
              </w:rPr>
              <w:t>0.1</w:t>
            </w:r>
            <w:r w:rsidRPr="00B942E4">
              <w:rPr>
                <w:rFonts w:ascii="Times New Roman"/>
                <w:color w:val="000000" w:themeColor="text1"/>
                <w:sz w:val="16"/>
                <w:szCs w:val="16"/>
              </w:rPr>
              <w:t xml:space="preserve">% &lt; ∆%MC ≤ </w:t>
            </w:r>
            <w:r w:rsidR="008572D4" w:rsidRPr="008A5DFD">
              <w:rPr>
                <w:rFonts w:ascii="Times New Roman"/>
                <w:color w:val="000000" w:themeColor="text1"/>
                <w:sz w:val="16"/>
                <w:szCs w:val="16"/>
              </w:rPr>
              <w:t>0.2</w:t>
            </w:r>
            <w:r w:rsidRPr="00B942E4">
              <w:rPr>
                <w:rFonts w:ascii="Times New Roman"/>
                <w:color w:val="000000" w:themeColor="text1"/>
                <w:sz w:val="16"/>
                <w:szCs w:val="16"/>
              </w:rPr>
              <w:t xml:space="preserve">% </w:t>
            </w:r>
            <w:r w:rsidRPr="00B942E4">
              <w:rPr>
                <w:rFonts w:ascii="Times New Roman"/>
                <w:i/>
                <w:iCs/>
                <w:color w:val="000000" w:themeColor="text1"/>
                <w:sz w:val="16"/>
                <w:szCs w:val="16"/>
              </w:rPr>
              <w:t>Acceptable:</w:t>
            </w:r>
            <w:r w:rsidRPr="00B942E4">
              <w:rPr>
                <w:rFonts w:ascii="Times New Roman"/>
                <w:color w:val="000000" w:themeColor="text1"/>
                <w:sz w:val="16"/>
                <w:szCs w:val="16"/>
              </w:rPr>
              <w:t xml:space="preserve"> </w:t>
            </w:r>
            <w:r w:rsidR="008572D4" w:rsidRPr="008A5DFD">
              <w:rPr>
                <w:rFonts w:ascii="Times New Roman"/>
                <w:color w:val="000000" w:themeColor="text1"/>
                <w:sz w:val="16"/>
                <w:szCs w:val="16"/>
              </w:rPr>
              <w:t>0.2</w:t>
            </w:r>
            <w:r w:rsidRPr="00B942E4">
              <w:rPr>
                <w:rFonts w:ascii="Times New Roman"/>
                <w:color w:val="000000" w:themeColor="text1"/>
                <w:sz w:val="16"/>
                <w:szCs w:val="16"/>
              </w:rPr>
              <w:t xml:space="preserve">% &lt; ∆%MC ≤ </w:t>
            </w:r>
            <w:r w:rsidR="008572D4" w:rsidRPr="008A5DFD">
              <w:rPr>
                <w:rFonts w:ascii="Times New Roman"/>
                <w:color w:val="000000" w:themeColor="text1"/>
                <w:sz w:val="16"/>
                <w:szCs w:val="16"/>
              </w:rPr>
              <w:t>0</w:t>
            </w:r>
            <w:r w:rsidR="008A5DFD" w:rsidRPr="008A5DFD">
              <w:rPr>
                <w:rFonts w:ascii="Times New Roman"/>
                <w:color w:val="000000" w:themeColor="text1"/>
                <w:sz w:val="16"/>
                <w:szCs w:val="16"/>
              </w:rPr>
              <w:t>.4</w:t>
            </w:r>
            <w:r w:rsidRPr="00B942E4">
              <w:rPr>
                <w:rFonts w:ascii="Times New Roman"/>
                <w:color w:val="000000" w:themeColor="text1"/>
                <w:sz w:val="16"/>
                <w:szCs w:val="16"/>
              </w:rPr>
              <w:t xml:space="preserve">% </w:t>
            </w:r>
            <w:r w:rsidRPr="00B942E4">
              <w:rPr>
                <w:rFonts w:ascii="Times New Roman"/>
                <w:i/>
                <w:iCs/>
                <w:color w:val="000000" w:themeColor="text1"/>
                <w:sz w:val="16"/>
                <w:szCs w:val="16"/>
              </w:rPr>
              <w:t>Failed:</w:t>
            </w:r>
            <w:r w:rsidRPr="00B942E4">
              <w:rPr>
                <w:rFonts w:ascii="Times New Roman"/>
                <w:color w:val="000000" w:themeColor="text1"/>
                <w:sz w:val="16"/>
                <w:szCs w:val="16"/>
              </w:rPr>
              <w:t xml:space="preserve"> ∆%MC &gt; </w:t>
            </w:r>
            <w:r w:rsidR="008A5DFD" w:rsidRPr="008A5DFD">
              <w:rPr>
                <w:rFonts w:ascii="Times New Roman"/>
                <w:color w:val="000000" w:themeColor="text1"/>
                <w:sz w:val="16"/>
                <w:szCs w:val="16"/>
              </w:rPr>
              <w:t>0.4</w:t>
            </w:r>
            <w:r w:rsidRPr="00B942E4">
              <w:rPr>
                <w:rFonts w:ascii="Times New Roman"/>
                <w:color w:val="000000" w:themeColor="text1"/>
                <w:sz w:val="16"/>
                <w:szCs w:val="16"/>
              </w:rPr>
              <w:t>%</w:t>
            </w:r>
            <w:bookmarkEnd w:id="0"/>
          </w:p>
        </w:tc>
        <w:tc>
          <w:tcPr>
            <w:tcW w:w="4971" w:type="dxa"/>
            <w:vAlign w:val="center"/>
            <w:hideMark/>
          </w:tcPr>
          <w:p w14:paraId="7521B835" w14:textId="77777777" w:rsidR="007D03E8" w:rsidRPr="00B942E4" w:rsidRDefault="007D03E8" w:rsidP="005D38FE">
            <w:pPr>
              <w:spacing w:after="0" w:line="240" w:lineRule="auto"/>
              <w:contextualSpacing/>
              <w:jc w:val="center"/>
              <w:rPr>
                <w:rFonts w:ascii="Times New Roman"/>
                <w:sz w:val="16"/>
                <w:szCs w:val="16"/>
              </w:rPr>
            </w:pPr>
            <w:r w:rsidRPr="00B942E4">
              <w:rPr>
                <w:rFonts w:ascii="Times New Roman"/>
                <w:b/>
                <w:bCs/>
                <w:sz w:val="16"/>
                <w:szCs w:val="16"/>
              </w:rPr>
              <w:t>Precision Criterion:</w:t>
            </w:r>
            <w:r w:rsidRPr="00B942E4">
              <w:rPr>
                <w:rFonts w:ascii="Times New Roman"/>
                <w:sz w:val="16"/>
                <w:szCs w:val="16"/>
              </w:rPr>
              <w:t xml:space="preserve"> Standard Deviation Ratio (Q): Q ≤ 1.5</w:t>
            </w:r>
          </w:p>
        </w:tc>
      </w:tr>
    </w:tbl>
    <w:p w14:paraId="2D554394" w14:textId="03206B14" w:rsidR="00CF47C4" w:rsidRPr="00A516D0" w:rsidRDefault="00674344" w:rsidP="009D6D00">
      <w:pPr>
        <w:spacing w:after="0" w:line="240" w:lineRule="auto"/>
        <w:ind w:firstLine="720"/>
        <w:jc w:val="both"/>
        <w:rPr>
          <w:rFonts w:ascii="Times New Roman"/>
          <w:sz w:val="20"/>
          <w:szCs w:val="20"/>
        </w:rPr>
      </w:pPr>
      <w:r>
        <w:rPr>
          <w:rFonts w:ascii="Times New Roman"/>
          <w:i/>
          <w:color w:val="FF0000"/>
          <w:sz w:val="20"/>
          <w:szCs w:val="20"/>
        </w:rPr>
        <w:t xml:space="preserve"> </w:t>
      </w:r>
    </w:p>
    <w:p w14:paraId="4F78DD6D" w14:textId="18611BF1" w:rsidR="00CF47C4" w:rsidRPr="008D4884" w:rsidRDefault="008A7684" w:rsidP="006A31B5">
      <w:pPr>
        <w:pStyle w:val="ListParagraph"/>
        <w:numPr>
          <w:ilvl w:val="0"/>
          <w:numId w:val="5"/>
        </w:numPr>
        <w:spacing w:after="0" w:line="240" w:lineRule="auto"/>
        <w:ind w:left="360" w:hanging="360"/>
        <w:jc w:val="center"/>
        <w:rPr>
          <w:rFonts w:ascii="Times New Roman"/>
          <w:b/>
          <w:szCs w:val="20"/>
        </w:rPr>
      </w:pPr>
      <w:r w:rsidRPr="00A516D0">
        <w:rPr>
          <w:rFonts w:ascii="Times New Roman"/>
          <w:b/>
          <w:szCs w:val="20"/>
        </w:rPr>
        <w:t>Result</w:t>
      </w:r>
    </w:p>
    <w:p w14:paraId="38300D79" w14:textId="5B71775C" w:rsidR="00EF7285" w:rsidRDefault="00EF7285" w:rsidP="00F71635">
      <w:pPr>
        <w:spacing w:after="0" w:line="240" w:lineRule="auto"/>
        <w:ind w:firstLine="720"/>
        <w:jc w:val="both"/>
        <w:rPr>
          <w:rFonts w:ascii="Times New Roman"/>
          <w:bCs/>
          <w:sz w:val="20"/>
          <w:szCs w:val="20"/>
        </w:rPr>
      </w:pPr>
      <w:r>
        <w:rPr>
          <w:rFonts w:ascii="Times New Roman"/>
          <w:bCs/>
          <w:sz w:val="20"/>
          <w:szCs w:val="20"/>
        </w:rPr>
        <w:t xml:space="preserve">Bellow, </w:t>
      </w:r>
      <w:r w:rsidR="006A699C" w:rsidRPr="006A699C">
        <w:rPr>
          <w:rFonts w:ascii="Times New Roman"/>
          <w:bCs/>
          <w:sz w:val="20"/>
          <w:szCs w:val="20"/>
        </w:rPr>
        <w:t xml:space="preserve">we present the outcomes from analyzing 24 cannabis samples using both the HMA </w:t>
      </w:r>
      <w:r w:rsidR="00BA613E">
        <w:rPr>
          <w:rFonts w:ascii="Times New Roman"/>
          <w:bCs/>
          <w:sz w:val="20"/>
          <w:szCs w:val="20"/>
        </w:rPr>
        <w:t xml:space="preserve">and </w:t>
      </w:r>
      <w:r w:rsidR="006A699C" w:rsidRPr="006A699C">
        <w:rPr>
          <w:rFonts w:ascii="Times New Roman"/>
          <w:bCs/>
          <w:sz w:val="20"/>
          <w:szCs w:val="20"/>
        </w:rPr>
        <w:t xml:space="preserve">DO methods. Table no.2 reports individual sample measurements alongside absolute differences, indicating potential method bias. Table no.3 details the </w:t>
      </w:r>
      <w:r w:rsidR="00094C3C">
        <w:rPr>
          <w:rFonts w:ascii="Times New Roman"/>
          <w:bCs/>
          <w:sz w:val="20"/>
          <w:szCs w:val="20"/>
        </w:rPr>
        <w:t xml:space="preserve">calculated </w:t>
      </w:r>
      <w:r w:rsidR="006A699C" w:rsidRPr="006A699C">
        <w:rPr>
          <w:rFonts w:ascii="Times New Roman"/>
          <w:bCs/>
          <w:sz w:val="20"/>
          <w:szCs w:val="20"/>
        </w:rPr>
        <w:t xml:space="preserve">statistical parameters—such as mean, standard deviation, confidence intervals, and correlation coefficients—which quantify variability and help assess whether these two methods meet predetermined accuracy and precision criteria. Finally, Table no.4 consolidates the accuracy and precision evaluations, illustrating how these parameters guide conclusions on method suitability for routine </w:t>
      </w:r>
      <w:r w:rsidR="006A699C">
        <w:rPr>
          <w:rFonts w:ascii="Times New Roman"/>
          <w:bCs/>
          <w:sz w:val="20"/>
          <w:szCs w:val="20"/>
        </w:rPr>
        <w:t xml:space="preserve">In-Process </w:t>
      </w:r>
      <w:r w:rsidR="006A699C" w:rsidRPr="006A699C">
        <w:rPr>
          <w:rFonts w:ascii="Times New Roman"/>
          <w:bCs/>
          <w:sz w:val="20"/>
          <w:szCs w:val="20"/>
        </w:rPr>
        <w:t xml:space="preserve">quality control </w:t>
      </w:r>
      <w:r w:rsidR="00094C3C">
        <w:rPr>
          <w:rFonts w:ascii="Times New Roman"/>
          <w:bCs/>
          <w:sz w:val="20"/>
          <w:szCs w:val="20"/>
        </w:rPr>
        <w:t>during dry cannabis flower production.</w:t>
      </w:r>
    </w:p>
    <w:p w14:paraId="257D4748" w14:textId="77777777" w:rsidR="00EF7285" w:rsidRPr="00EF7285" w:rsidRDefault="00EF7285" w:rsidP="00EF7285">
      <w:pPr>
        <w:spacing w:after="0" w:line="240" w:lineRule="auto"/>
        <w:jc w:val="both"/>
        <w:rPr>
          <w:rFonts w:ascii="Times New Roman"/>
          <w:bCs/>
          <w:sz w:val="20"/>
          <w:szCs w:val="20"/>
        </w:rPr>
      </w:pPr>
    </w:p>
    <w:p w14:paraId="73F13D91" w14:textId="0241FA68" w:rsidR="008D4884" w:rsidRDefault="008A7684" w:rsidP="006A31B5">
      <w:pPr>
        <w:spacing w:after="0" w:line="240" w:lineRule="auto"/>
        <w:jc w:val="center"/>
        <w:rPr>
          <w:rFonts w:ascii="Times New Roman"/>
          <w:sz w:val="20"/>
          <w:szCs w:val="20"/>
        </w:rPr>
      </w:pPr>
      <w:r w:rsidRPr="00A516D0">
        <w:rPr>
          <w:rFonts w:ascii="Times New Roman"/>
          <w:b/>
          <w:sz w:val="20"/>
          <w:szCs w:val="20"/>
        </w:rPr>
        <w:t>Table no2:</w:t>
      </w:r>
      <w:r w:rsidR="00D17811" w:rsidRPr="00A516D0">
        <w:rPr>
          <w:rFonts w:ascii="Times New Roman"/>
          <w:b/>
          <w:sz w:val="20"/>
          <w:szCs w:val="20"/>
        </w:rPr>
        <w:t xml:space="preserve"> </w:t>
      </w:r>
      <w:r w:rsidR="00F03247" w:rsidRPr="005152CA">
        <w:rPr>
          <w:rFonts w:ascii="Times New Roman"/>
          <w:sz w:val="20"/>
          <w:szCs w:val="20"/>
        </w:rPr>
        <w:t>HMA &amp; DO %MC Measurement Results of samples n1-n24 and Δ%MC</w:t>
      </w:r>
      <w:r w:rsidR="00F03247" w:rsidRPr="009336C9">
        <w:rPr>
          <w:rFonts w:ascii="Times New Roman"/>
          <w:sz w:val="20"/>
          <w:szCs w:val="20"/>
          <w:vertAlign w:val="subscript"/>
        </w:rPr>
        <w:t>|DO – HMA|</w:t>
      </w:r>
      <w:r w:rsidR="00F03247">
        <w:rPr>
          <w:rFonts w:ascii="Times New Roman"/>
          <w:sz w:val="20"/>
          <w:szCs w:val="20"/>
        </w:rPr>
        <w:t xml:space="preserve"> with</w:t>
      </w:r>
      <w:r w:rsidR="00F03247" w:rsidRPr="00880DFD">
        <w:t xml:space="preserve"> </w:t>
      </w:r>
      <w:r w:rsidR="00F03247" w:rsidRPr="00880DFD">
        <w:rPr>
          <w:rFonts w:ascii="Times New Roman"/>
          <w:sz w:val="20"/>
          <w:szCs w:val="20"/>
        </w:rPr>
        <w:t>Acc</w:t>
      </w:r>
      <w:r w:rsidR="00F03247">
        <w:rPr>
          <w:rFonts w:ascii="Times New Roman"/>
          <w:sz w:val="20"/>
          <w:szCs w:val="20"/>
        </w:rPr>
        <w:t>.</w:t>
      </w:r>
      <w:r w:rsidR="00F03247" w:rsidRPr="00880DFD">
        <w:rPr>
          <w:rFonts w:ascii="Times New Roman"/>
          <w:sz w:val="20"/>
          <w:szCs w:val="20"/>
        </w:rPr>
        <w:t xml:space="preserve"> Levels</w:t>
      </w:r>
    </w:p>
    <w:tbl>
      <w:tblPr>
        <w:tblW w:w="10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5"/>
        <w:gridCol w:w="707"/>
        <w:gridCol w:w="697"/>
        <w:gridCol w:w="696"/>
        <w:gridCol w:w="697"/>
        <w:gridCol w:w="605"/>
        <w:gridCol w:w="787"/>
        <w:gridCol w:w="697"/>
        <w:gridCol w:w="696"/>
        <w:gridCol w:w="697"/>
        <w:gridCol w:w="667"/>
        <w:gridCol w:w="725"/>
        <w:gridCol w:w="697"/>
        <w:gridCol w:w="696"/>
        <w:gridCol w:w="697"/>
      </w:tblGrid>
      <w:tr w:rsidR="0029416B" w:rsidRPr="00880DFD" w14:paraId="58127F42" w14:textId="77777777" w:rsidTr="005D38FE">
        <w:trPr>
          <w:trHeight w:val="418"/>
          <w:tblHeader/>
          <w:jc w:val="center"/>
        </w:trPr>
        <w:tc>
          <w:tcPr>
            <w:tcW w:w="685" w:type="dxa"/>
            <w:shd w:val="clear" w:color="auto" w:fill="BFBFBF" w:themeFill="background1" w:themeFillShade="BF"/>
            <w:vAlign w:val="center"/>
            <w:hideMark/>
          </w:tcPr>
          <w:p w14:paraId="092B4C41" w14:textId="77777777" w:rsidR="0029416B" w:rsidRPr="00880DFD" w:rsidRDefault="0029416B" w:rsidP="005D38FE">
            <w:pPr>
              <w:spacing w:after="0" w:line="240" w:lineRule="auto"/>
              <w:jc w:val="center"/>
              <w:rPr>
                <w:rFonts w:ascii="Times New Roman"/>
                <w:b/>
                <w:bCs/>
                <w:sz w:val="16"/>
                <w:szCs w:val="16"/>
              </w:rPr>
            </w:pPr>
            <w:r w:rsidRPr="005152CA">
              <w:rPr>
                <w:rFonts w:ascii="Times New Roman"/>
                <w:b/>
                <w:bCs/>
                <w:sz w:val="16"/>
                <w:szCs w:val="16"/>
                <w:lang w:val="nb-NO"/>
              </w:rPr>
              <w:t>Sample</w:t>
            </w:r>
          </w:p>
        </w:tc>
        <w:tc>
          <w:tcPr>
            <w:tcW w:w="707" w:type="dxa"/>
            <w:shd w:val="clear" w:color="auto" w:fill="BFBFBF" w:themeFill="background1" w:themeFillShade="BF"/>
            <w:vAlign w:val="center"/>
            <w:hideMark/>
          </w:tcPr>
          <w:p w14:paraId="5D191FF8" w14:textId="77777777" w:rsidR="0029416B" w:rsidRPr="00880DFD" w:rsidRDefault="0029416B" w:rsidP="005D38FE">
            <w:pPr>
              <w:spacing w:after="0" w:line="240" w:lineRule="auto"/>
              <w:jc w:val="center"/>
              <w:rPr>
                <w:rFonts w:ascii="Times New Roman"/>
                <w:b/>
                <w:bCs/>
                <w:sz w:val="16"/>
                <w:szCs w:val="16"/>
              </w:rPr>
            </w:pPr>
            <w:r w:rsidRPr="005152CA">
              <w:rPr>
                <w:rFonts w:ascii="Times New Roman"/>
                <w:b/>
                <w:bCs/>
                <w:sz w:val="16"/>
                <w:szCs w:val="16"/>
                <w:lang w:val="nb-NO"/>
              </w:rPr>
              <w:t>%MC</w:t>
            </w:r>
            <w:r w:rsidRPr="005152CA">
              <w:rPr>
                <w:rFonts w:ascii="Times New Roman"/>
                <w:b/>
                <w:bCs/>
                <w:sz w:val="16"/>
                <w:szCs w:val="16"/>
                <w:vertAlign w:val="subscript"/>
                <w:lang w:val="nb-NO"/>
              </w:rPr>
              <w:t>HMA</w:t>
            </w:r>
            <w:r w:rsidRPr="005152CA">
              <w:rPr>
                <w:rFonts w:ascii="Times New Roman"/>
                <w:b/>
                <w:bCs/>
                <w:sz w:val="16"/>
                <w:szCs w:val="16"/>
                <w:lang w:val="nb-NO"/>
              </w:rPr>
              <w:t xml:space="preserve"> (</w:t>
            </w:r>
            <m:oMath>
              <m:sSub>
                <m:sSubPr>
                  <m:ctrlPr>
                    <w:rPr>
                      <w:rFonts w:ascii="Cambria Math" w:hAnsi="Cambria Math"/>
                      <w:i/>
                      <w:sz w:val="16"/>
                      <w:szCs w:val="16"/>
                      <w:lang w:val="nb-NO"/>
                    </w:rPr>
                  </m:ctrlPr>
                </m:sSubPr>
                <m:e>
                  <m:r>
                    <w:rPr>
                      <w:rFonts w:ascii="Cambria Math" w:hAnsi="Cambria Math"/>
                      <w:sz w:val="16"/>
                      <w:szCs w:val="16"/>
                      <w:lang w:val="nb-NO"/>
                    </w:rPr>
                    <m:t>X</m:t>
                  </m:r>
                </m:e>
                <m:sub>
                  <m:r>
                    <w:rPr>
                      <w:rFonts w:ascii="Cambria Math" w:hAnsi="Cambria Math"/>
                      <w:sz w:val="16"/>
                      <w:szCs w:val="16"/>
                      <w:lang w:val="nb-NO"/>
                    </w:rPr>
                    <m:t>i</m:t>
                  </m:r>
                </m:sub>
              </m:sSub>
              <m:r>
                <w:rPr>
                  <w:rFonts w:ascii="Cambria Math" w:hAnsi="Cambria Math"/>
                  <w:sz w:val="16"/>
                  <w:szCs w:val="16"/>
                  <w:lang w:val="nb-NO"/>
                </w:rPr>
                <m:t>)</m:t>
              </m:r>
            </m:oMath>
          </w:p>
        </w:tc>
        <w:tc>
          <w:tcPr>
            <w:tcW w:w="697" w:type="dxa"/>
            <w:shd w:val="clear" w:color="auto" w:fill="BFBFBF" w:themeFill="background1" w:themeFillShade="BF"/>
            <w:vAlign w:val="center"/>
            <w:hideMark/>
          </w:tcPr>
          <w:p w14:paraId="27EC5C70" w14:textId="77777777" w:rsidR="0029416B" w:rsidRPr="00880DFD" w:rsidRDefault="0029416B" w:rsidP="005D38FE">
            <w:pPr>
              <w:spacing w:after="0" w:line="240" w:lineRule="auto"/>
              <w:jc w:val="center"/>
              <w:rPr>
                <w:rFonts w:ascii="Times New Roman"/>
                <w:b/>
                <w:bCs/>
                <w:sz w:val="16"/>
                <w:szCs w:val="16"/>
              </w:rPr>
            </w:pPr>
            <w:r w:rsidRPr="005152CA">
              <w:rPr>
                <w:rFonts w:ascii="Times New Roman"/>
                <w:b/>
                <w:bCs/>
                <w:sz w:val="16"/>
                <w:szCs w:val="16"/>
                <w:lang w:val="nb-NO"/>
              </w:rPr>
              <w:t>%MC</w:t>
            </w:r>
            <w:r w:rsidRPr="005152CA">
              <w:rPr>
                <w:rFonts w:ascii="Times New Roman"/>
                <w:b/>
                <w:bCs/>
                <w:sz w:val="16"/>
                <w:szCs w:val="16"/>
                <w:vertAlign w:val="subscript"/>
                <w:lang w:val="nb-NO"/>
              </w:rPr>
              <w:t>DO</w:t>
            </w:r>
            <w:r w:rsidRPr="005152CA">
              <w:rPr>
                <w:rFonts w:ascii="Times New Roman"/>
                <w:b/>
                <w:bCs/>
                <w:sz w:val="16"/>
                <w:szCs w:val="16"/>
                <w:lang w:val="nb-NO"/>
              </w:rPr>
              <w:t xml:space="preserve"> (</w:t>
            </w:r>
            <m:oMath>
              <m:sSub>
                <m:sSubPr>
                  <m:ctrlPr>
                    <w:rPr>
                      <w:rFonts w:ascii="Cambria Math" w:hAnsi="Cambria Math"/>
                      <w:i/>
                      <w:sz w:val="16"/>
                      <w:szCs w:val="16"/>
                      <w:lang w:val="nb-NO"/>
                    </w:rPr>
                  </m:ctrlPr>
                </m:sSubPr>
                <m:e>
                  <m:r>
                    <w:rPr>
                      <w:rFonts w:ascii="Cambria Math" w:hAnsi="Cambria Math"/>
                      <w:sz w:val="16"/>
                      <w:szCs w:val="16"/>
                      <w:lang w:val="nb-NO"/>
                    </w:rPr>
                    <m:t>Y</m:t>
                  </m:r>
                </m:e>
                <m:sub>
                  <m:r>
                    <w:rPr>
                      <w:rFonts w:ascii="Cambria Math" w:hAnsi="Cambria Math"/>
                      <w:sz w:val="16"/>
                      <w:szCs w:val="16"/>
                      <w:lang w:val="nb-NO"/>
                    </w:rPr>
                    <m:t>i</m:t>
                  </m:r>
                </m:sub>
              </m:sSub>
              <m:r>
                <w:rPr>
                  <w:rFonts w:ascii="Cambria Math" w:hAnsi="Cambria Math"/>
                  <w:sz w:val="16"/>
                  <w:szCs w:val="16"/>
                  <w:lang w:val="nb-NO"/>
                </w:rPr>
                <m:t>)</m:t>
              </m:r>
            </m:oMath>
          </w:p>
        </w:tc>
        <w:tc>
          <w:tcPr>
            <w:tcW w:w="696" w:type="dxa"/>
            <w:shd w:val="clear" w:color="auto" w:fill="BFBFBF" w:themeFill="background1" w:themeFillShade="BF"/>
            <w:vAlign w:val="center"/>
            <w:hideMark/>
          </w:tcPr>
          <w:p w14:paraId="31A30B61" w14:textId="77777777" w:rsidR="0029416B" w:rsidRDefault="0029416B" w:rsidP="005D38FE">
            <w:pPr>
              <w:spacing w:after="0" w:line="240" w:lineRule="auto"/>
              <w:jc w:val="center"/>
              <w:rPr>
                <w:rFonts w:ascii="Times New Roman"/>
                <w:b/>
                <w:bCs/>
                <w:sz w:val="16"/>
                <w:szCs w:val="16"/>
                <w:lang w:val="nb-NO"/>
              </w:rPr>
            </w:pPr>
            <w:r w:rsidRPr="005152CA">
              <w:rPr>
                <w:rFonts w:ascii="Times New Roman"/>
                <w:b/>
                <w:bCs/>
                <w:sz w:val="16"/>
                <w:szCs w:val="16"/>
                <w:lang w:val="nb-NO"/>
              </w:rPr>
              <w:t>Δ%MC</w:t>
            </w:r>
          </w:p>
          <w:p w14:paraId="56F86825" w14:textId="77777777" w:rsidR="0029416B" w:rsidRPr="00880DFD" w:rsidRDefault="0029416B" w:rsidP="005D38FE">
            <w:pPr>
              <w:spacing w:after="0" w:line="240" w:lineRule="auto"/>
              <w:jc w:val="center"/>
              <w:rPr>
                <w:rFonts w:ascii="Times New Roman"/>
                <w:b/>
                <w:bCs/>
                <w:sz w:val="16"/>
                <w:szCs w:val="16"/>
              </w:rPr>
            </w:pPr>
            <w:r w:rsidRPr="005152CA">
              <w:rPr>
                <w:rFonts w:ascii="Times New Roman"/>
                <w:b/>
                <w:bCs/>
                <w:sz w:val="16"/>
                <w:szCs w:val="16"/>
                <w:vertAlign w:val="subscript"/>
                <w:lang w:val="nb-NO"/>
              </w:rPr>
              <w:t>|DO – HMA|</w:t>
            </w:r>
          </w:p>
        </w:tc>
        <w:tc>
          <w:tcPr>
            <w:tcW w:w="697" w:type="dxa"/>
            <w:shd w:val="clear" w:color="auto" w:fill="BFBFBF" w:themeFill="background1" w:themeFillShade="BF"/>
            <w:vAlign w:val="center"/>
            <w:hideMark/>
          </w:tcPr>
          <w:p w14:paraId="12C04077" w14:textId="77777777" w:rsidR="0029416B" w:rsidRPr="00880DFD" w:rsidRDefault="0029416B" w:rsidP="005D38FE">
            <w:pPr>
              <w:spacing w:after="0" w:line="240" w:lineRule="auto"/>
              <w:jc w:val="center"/>
              <w:rPr>
                <w:rFonts w:ascii="Times New Roman"/>
                <w:b/>
                <w:bCs/>
                <w:sz w:val="16"/>
                <w:szCs w:val="16"/>
              </w:rPr>
            </w:pPr>
            <w:r w:rsidRPr="006D25E0">
              <w:rPr>
                <w:rFonts w:ascii="Times New Roman"/>
                <w:b/>
                <w:bCs/>
                <w:sz w:val="16"/>
                <w:szCs w:val="16"/>
                <w:lang w:val="nb-NO"/>
              </w:rPr>
              <w:t>Acc. Levels</w:t>
            </w:r>
          </w:p>
        </w:tc>
        <w:tc>
          <w:tcPr>
            <w:tcW w:w="605" w:type="dxa"/>
            <w:shd w:val="clear" w:color="auto" w:fill="BFBFBF" w:themeFill="background1" w:themeFillShade="BF"/>
            <w:vAlign w:val="center"/>
            <w:hideMark/>
          </w:tcPr>
          <w:p w14:paraId="7475D3B8" w14:textId="77777777" w:rsidR="0029416B" w:rsidRPr="00880DFD" w:rsidRDefault="0029416B" w:rsidP="005D38FE">
            <w:pPr>
              <w:spacing w:after="0" w:line="240" w:lineRule="auto"/>
              <w:jc w:val="center"/>
              <w:rPr>
                <w:rFonts w:ascii="Times New Roman"/>
                <w:b/>
                <w:bCs/>
                <w:sz w:val="16"/>
                <w:szCs w:val="16"/>
              </w:rPr>
            </w:pPr>
            <w:r w:rsidRPr="005152CA">
              <w:rPr>
                <w:rFonts w:ascii="Times New Roman"/>
                <w:b/>
                <w:bCs/>
                <w:sz w:val="16"/>
                <w:szCs w:val="16"/>
                <w:lang w:val="nb-NO"/>
              </w:rPr>
              <w:t>Sample</w:t>
            </w:r>
          </w:p>
        </w:tc>
        <w:tc>
          <w:tcPr>
            <w:tcW w:w="787" w:type="dxa"/>
            <w:shd w:val="clear" w:color="auto" w:fill="BFBFBF" w:themeFill="background1" w:themeFillShade="BF"/>
            <w:vAlign w:val="center"/>
            <w:hideMark/>
          </w:tcPr>
          <w:p w14:paraId="6748266A" w14:textId="77777777" w:rsidR="0029416B" w:rsidRPr="00880DFD" w:rsidRDefault="0029416B" w:rsidP="005D38FE">
            <w:pPr>
              <w:spacing w:after="0" w:line="240" w:lineRule="auto"/>
              <w:jc w:val="center"/>
              <w:rPr>
                <w:rFonts w:ascii="Times New Roman"/>
                <w:b/>
                <w:bCs/>
                <w:sz w:val="16"/>
                <w:szCs w:val="16"/>
              </w:rPr>
            </w:pPr>
            <w:r w:rsidRPr="005152CA">
              <w:rPr>
                <w:rFonts w:ascii="Times New Roman"/>
                <w:b/>
                <w:bCs/>
                <w:sz w:val="16"/>
                <w:szCs w:val="16"/>
                <w:lang w:val="nb-NO"/>
              </w:rPr>
              <w:t>%MC</w:t>
            </w:r>
            <w:r w:rsidRPr="005152CA">
              <w:rPr>
                <w:rFonts w:ascii="Times New Roman"/>
                <w:b/>
                <w:bCs/>
                <w:sz w:val="16"/>
                <w:szCs w:val="16"/>
                <w:vertAlign w:val="subscript"/>
                <w:lang w:val="nb-NO"/>
              </w:rPr>
              <w:t>HMA</w:t>
            </w:r>
            <w:r w:rsidRPr="005152CA">
              <w:rPr>
                <w:rFonts w:ascii="Times New Roman"/>
                <w:b/>
                <w:bCs/>
                <w:sz w:val="16"/>
                <w:szCs w:val="16"/>
                <w:lang w:val="nb-NO"/>
              </w:rPr>
              <w:t xml:space="preserve"> (</w:t>
            </w:r>
            <m:oMath>
              <m:sSub>
                <m:sSubPr>
                  <m:ctrlPr>
                    <w:rPr>
                      <w:rFonts w:ascii="Cambria Math" w:hAnsi="Cambria Math"/>
                      <w:i/>
                      <w:sz w:val="16"/>
                      <w:szCs w:val="16"/>
                      <w:lang w:val="nb-NO"/>
                    </w:rPr>
                  </m:ctrlPr>
                </m:sSubPr>
                <m:e>
                  <m:r>
                    <w:rPr>
                      <w:rFonts w:ascii="Cambria Math" w:hAnsi="Cambria Math"/>
                      <w:sz w:val="16"/>
                      <w:szCs w:val="16"/>
                      <w:lang w:val="nb-NO"/>
                    </w:rPr>
                    <m:t>X</m:t>
                  </m:r>
                </m:e>
                <m:sub>
                  <m:r>
                    <w:rPr>
                      <w:rFonts w:ascii="Cambria Math" w:hAnsi="Cambria Math"/>
                      <w:sz w:val="16"/>
                      <w:szCs w:val="16"/>
                      <w:lang w:val="nb-NO"/>
                    </w:rPr>
                    <m:t>i</m:t>
                  </m:r>
                </m:sub>
              </m:sSub>
              <m:r>
                <w:rPr>
                  <w:rFonts w:ascii="Cambria Math" w:hAnsi="Cambria Math"/>
                  <w:sz w:val="16"/>
                  <w:szCs w:val="16"/>
                  <w:lang w:val="nb-NO"/>
                </w:rPr>
                <m:t>)</m:t>
              </m:r>
            </m:oMath>
          </w:p>
        </w:tc>
        <w:tc>
          <w:tcPr>
            <w:tcW w:w="697" w:type="dxa"/>
            <w:shd w:val="clear" w:color="auto" w:fill="BFBFBF" w:themeFill="background1" w:themeFillShade="BF"/>
            <w:vAlign w:val="center"/>
            <w:hideMark/>
          </w:tcPr>
          <w:p w14:paraId="55F691FD" w14:textId="77777777" w:rsidR="0029416B" w:rsidRPr="00880DFD" w:rsidRDefault="0029416B" w:rsidP="005D38FE">
            <w:pPr>
              <w:spacing w:after="0" w:line="240" w:lineRule="auto"/>
              <w:jc w:val="center"/>
              <w:rPr>
                <w:rFonts w:ascii="Times New Roman"/>
                <w:b/>
                <w:bCs/>
                <w:sz w:val="16"/>
                <w:szCs w:val="16"/>
              </w:rPr>
            </w:pPr>
            <w:r w:rsidRPr="005152CA">
              <w:rPr>
                <w:rFonts w:ascii="Times New Roman"/>
                <w:b/>
                <w:bCs/>
                <w:sz w:val="16"/>
                <w:szCs w:val="16"/>
                <w:lang w:val="nb-NO"/>
              </w:rPr>
              <w:t>%MC</w:t>
            </w:r>
            <w:r w:rsidRPr="005152CA">
              <w:rPr>
                <w:rFonts w:ascii="Times New Roman"/>
                <w:b/>
                <w:bCs/>
                <w:sz w:val="16"/>
                <w:szCs w:val="16"/>
                <w:vertAlign w:val="subscript"/>
                <w:lang w:val="nb-NO"/>
              </w:rPr>
              <w:t>DO</w:t>
            </w:r>
            <w:r w:rsidRPr="005152CA">
              <w:rPr>
                <w:rFonts w:ascii="Times New Roman"/>
                <w:b/>
                <w:bCs/>
                <w:sz w:val="16"/>
                <w:szCs w:val="16"/>
                <w:lang w:val="nb-NO"/>
              </w:rPr>
              <w:t xml:space="preserve"> (</w:t>
            </w:r>
            <m:oMath>
              <m:sSub>
                <m:sSubPr>
                  <m:ctrlPr>
                    <w:rPr>
                      <w:rFonts w:ascii="Cambria Math" w:hAnsi="Cambria Math"/>
                      <w:i/>
                      <w:sz w:val="16"/>
                      <w:szCs w:val="16"/>
                      <w:lang w:val="nb-NO"/>
                    </w:rPr>
                  </m:ctrlPr>
                </m:sSubPr>
                <m:e>
                  <m:r>
                    <w:rPr>
                      <w:rFonts w:ascii="Cambria Math" w:hAnsi="Cambria Math"/>
                      <w:sz w:val="16"/>
                      <w:szCs w:val="16"/>
                      <w:lang w:val="nb-NO"/>
                    </w:rPr>
                    <m:t>Y</m:t>
                  </m:r>
                </m:e>
                <m:sub>
                  <m:r>
                    <w:rPr>
                      <w:rFonts w:ascii="Cambria Math" w:hAnsi="Cambria Math"/>
                      <w:sz w:val="16"/>
                      <w:szCs w:val="16"/>
                      <w:lang w:val="nb-NO"/>
                    </w:rPr>
                    <m:t>i</m:t>
                  </m:r>
                </m:sub>
              </m:sSub>
              <m:r>
                <w:rPr>
                  <w:rFonts w:ascii="Cambria Math" w:hAnsi="Cambria Math"/>
                  <w:sz w:val="16"/>
                  <w:szCs w:val="16"/>
                  <w:lang w:val="nb-NO"/>
                </w:rPr>
                <m:t>)</m:t>
              </m:r>
            </m:oMath>
          </w:p>
        </w:tc>
        <w:tc>
          <w:tcPr>
            <w:tcW w:w="696" w:type="dxa"/>
            <w:shd w:val="clear" w:color="auto" w:fill="BFBFBF" w:themeFill="background1" w:themeFillShade="BF"/>
            <w:vAlign w:val="center"/>
            <w:hideMark/>
          </w:tcPr>
          <w:p w14:paraId="6F4B7CCF" w14:textId="77777777" w:rsidR="0029416B" w:rsidRDefault="0029416B" w:rsidP="005D38FE">
            <w:pPr>
              <w:spacing w:after="0" w:line="240" w:lineRule="auto"/>
              <w:jc w:val="center"/>
              <w:rPr>
                <w:rFonts w:ascii="Times New Roman"/>
                <w:b/>
                <w:bCs/>
                <w:sz w:val="16"/>
                <w:szCs w:val="16"/>
                <w:lang w:val="nb-NO"/>
              </w:rPr>
            </w:pPr>
            <w:r w:rsidRPr="005152CA">
              <w:rPr>
                <w:rFonts w:ascii="Times New Roman"/>
                <w:b/>
                <w:bCs/>
                <w:sz w:val="16"/>
                <w:szCs w:val="16"/>
                <w:lang w:val="nb-NO"/>
              </w:rPr>
              <w:t>Δ%MC</w:t>
            </w:r>
          </w:p>
          <w:p w14:paraId="3E00129A" w14:textId="77777777" w:rsidR="0029416B" w:rsidRPr="00880DFD" w:rsidRDefault="0029416B" w:rsidP="005D38FE">
            <w:pPr>
              <w:spacing w:after="0" w:line="240" w:lineRule="auto"/>
              <w:jc w:val="center"/>
              <w:rPr>
                <w:rFonts w:ascii="Times New Roman"/>
                <w:b/>
                <w:bCs/>
                <w:sz w:val="16"/>
                <w:szCs w:val="16"/>
              </w:rPr>
            </w:pPr>
            <w:r w:rsidRPr="005152CA">
              <w:rPr>
                <w:rFonts w:ascii="Times New Roman"/>
                <w:b/>
                <w:bCs/>
                <w:sz w:val="16"/>
                <w:szCs w:val="16"/>
                <w:vertAlign w:val="subscript"/>
                <w:lang w:val="nb-NO"/>
              </w:rPr>
              <w:t>|DO – HMA|</w:t>
            </w:r>
          </w:p>
        </w:tc>
        <w:tc>
          <w:tcPr>
            <w:tcW w:w="697" w:type="dxa"/>
            <w:shd w:val="clear" w:color="auto" w:fill="BFBFBF" w:themeFill="background1" w:themeFillShade="BF"/>
            <w:vAlign w:val="center"/>
            <w:hideMark/>
          </w:tcPr>
          <w:p w14:paraId="23D66C19" w14:textId="77777777" w:rsidR="0029416B" w:rsidRPr="00880DFD" w:rsidRDefault="0029416B" w:rsidP="005D38FE">
            <w:pPr>
              <w:spacing w:after="0" w:line="240" w:lineRule="auto"/>
              <w:jc w:val="center"/>
              <w:rPr>
                <w:rFonts w:ascii="Times New Roman"/>
                <w:b/>
                <w:bCs/>
                <w:sz w:val="16"/>
                <w:szCs w:val="16"/>
              </w:rPr>
            </w:pPr>
            <w:r w:rsidRPr="006D25E0">
              <w:rPr>
                <w:rFonts w:ascii="Times New Roman"/>
                <w:b/>
                <w:bCs/>
                <w:sz w:val="16"/>
                <w:szCs w:val="16"/>
                <w:lang w:val="nb-NO"/>
              </w:rPr>
              <w:t>Acc. Levels</w:t>
            </w:r>
          </w:p>
        </w:tc>
        <w:tc>
          <w:tcPr>
            <w:tcW w:w="667" w:type="dxa"/>
            <w:shd w:val="clear" w:color="auto" w:fill="BFBFBF" w:themeFill="background1" w:themeFillShade="BF"/>
            <w:vAlign w:val="center"/>
            <w:hideMark/>
          </w:tcPr>
          <w:p w14:paraId="73FDBFDD" w14:textId="77777777" w:rsidR="0029416B" w:rsidRPr="00880DFD" w:rsidRDefault="0029416B" w:rsidP="005D38FE">
            <w:pPr>
              <w:spacing w:after="0" w:line="240" w:lineRule="auto"/>
              <w:jc w:val="center"/>
              <w:rPr>
                <w:rFonts w:ascii="Times New Roman"/>
                <w:b/>
                <w:bCs/>
                <w:sz w:val="16"/>
                <w:szCs w:val="16"/>
              </w:rPr>
            </w:pPr>
            <w:r w:rsidRPr="005152CA">
              <w:rPr>
                <w:rFonts w:ascii="Times New Roman"/>
                <w:b/>
                <w:bCs/>
                <w:sz w:val="16"/>
                <w:szCs w:val="16"/>
                <w:lang w:val="nb-NO"/>
              </w:rPr>
              <w:t>Sample</w:t>
            </w:r>
          </w:p>
        </w:tc>
        <w:tc>
          <w:tcPr>
            <w:tcW w:w="725" w:type="dxa"/>
            <w:shd w:val="clear" w:color="auto" w:fill="BFBFBF" w:themeFill="background1" w:themeFillShade="BF"/>
            <w:vAlign w:val="center"/>
            <w:hideMark/>
          </w:tcPr>
          <w:p w14:paraId="68B677BF" w14:textId="77777777" w:rsidR="0029416B" w:rsidRPr="00880DFD" w:rsidRDefault="0029416B" w:rsidP="005D38FE">
            <w:pPr>
              <w:spacing w:after="0" w:line="240" w:lineRule="auto"/>
              <w:jc w:val="center"/>
              <w:rPr>
                <w:rFonts w:ascii="Times New Roman"/>
                <w:b/>
                <w:bCs/>
                <w:sz w:val="16"/>
                <w:szCs w:val="16"/>
              </w:rPr>
            </w:pPr>
            <w:r w:rsidRPr="005152CA">
              <w:rPr>
                <w:rFonts w:ascii="Times New Roman"/>
                <w:b/>
                <w:bCs/>
                <w:sz w:val="16"/>
                <w:szCs w:val="16"/>
                <w:lang w:val="nb-NO"/>
              </w:rPr>
              <w:t>%MC</w:t>
            </w:r>
            <w:r w:rsidRPr="005152CA">
              <w:rPr>
                <w:rFonts w:ascii="Times New Roman"/>
                <w:b/>
                <w:bCs/>
                <w:sz w:val="16"/>
                <w:szCs w:val="16"/>
                <w:vertAlign w:val="subscript"/>
                <w:lang w:val="nb-NO"/>
              </w:rPr>
              <w:t>HMA</w:t>
            </w:r>
            <w:r w:rsidRPr="005152CA">
              <w:rPr>
                <w:rFonts w:ascii="Times New Roman"/>
                <w:b/>
                <w:bCs/>
                <w:sz w:val="16"/>
                <w:szCs w:val="16"/>
                <w:lang w:val="nb-NO"/>
              </w:rPr>
              <w:t xml:space="preserve"> (</w:t>
            </w:r>
            <m:oMath>
              <m:sSub>
                <m:sSubPr>
                  <m:ctrlPr>
                    <w:rPr>
                      <w:rFonts w:ascii="Cambria Math" w:hAnsi="Cambria Math"/>
                      <w:i/>
                      <w:sz w:val="16"/>
                      <w:szCs w:val="16"/>
                      <w:lang w:val="nb-NO"/>
                    </w:rPr>
                  </m:ctrlPr>
                </m:sSubPr>
                <m:e>
                  <m:r>
                    <w:rPr>
                      <w:rFonts w:ascii="Cambria Math" w:hAnsi="Cambria Math"/>
                      <w:sz w:val="16"/>
                      <w:szCs w:val="16"/>
                      <w:lang w:val="nb-NO"/>
                    </w:rPr>
                    <m:t>X</m:t>
                  </m:r>
                </m:e>
                <m:sub>
                  <m:r>
                    <w:rPr>
                      <w:rFonts w:ascii="Cambria Math" w:hAnsi="Cambria Math"/>
                      <w:sz w:val="16"/>
                      <w:szCs w:val="16"/>
                      <w:lang w:val="nb-NO"/>
                    </w:rPr>
                    <m:t>i</m:t>
                  </m:r>
                </m:sub>
              </m:sSub>
              <m:r>
                <w:rPr>
                  <w:rFonts w:ascii="Cambria Math" w:hAnsi="Cambria Math"/>
                  <w:sz w:val="16"/>
                  <w:szCs w:val="16"/>
                  <w:lang w:val="nb-NO"/>
                </w:rPr>
                <m:t>)</m:t>
              </m:r>
            </m:oMath>
          </w:p>
        </w:tc>
        <w:tc>
          <w:tcPr>
            <w:tcW w:w="697" w:type="dxa"/>
            <w:shd w:val="clear" w:color="auto" w:fill="BFBFBF" w:themeFill="background1" w:themeFillShade="BF"/>
            <w:vAlign w:val="center"/>
            <w:hideMark/>
          </w:tcPr>
          <w:p w14:paraId="3B1CBAF8" w14:textId="77777777" w:rsidR="0029416B" w:rsidRPr="00880DFD" w:rsidRDefault="0029416B" w:rsidP="005D38FE">
            <w:pPr>
              <w:spacing w:after="0" w:line="240" w:lineRule="auto"/>
              <w:jc w:val="center"/>
              <w:rPr>
                <w:rFonts w:ascii="Times New Roman"/>
                <w:b/>
                <w:bCs/>
                <w:sz w:val="16"/>
                <w:szCs w:val="16"/>
              </w:rPr>
            </w:pPr>
            <w:r w:rsidRPr="005152CA">
              <w:rPr>
                <w:rFonts w:ascii="Times New Roman"/>
                <w:b/>
                <w:bCs/>
                <w:sz w:val="16"/>
                <w:szCs w:val="16"/>
                <w:lang w:val="nb-NO"/>
              </w:rPr>
              <w:t>%MC</w:t>
            </w:r>
            <w:r w:rsidRPr="005152CA">
              <w:rPr>
                <w:rFonts w:ascii="Times New Roman"/>
                <w:b/>
                <w:bCs/>
                <w:sz w:val="16"/>
                <w:szCs w:val="16"/>
                <w:vertAlign w:val="subscript"/>
                <w:lang w:val="nb-NO"/>
              </w:rPr>
              <w:t>DO</w:t>
            </w:r>
            <w:r w:rsidRPr="005152CA">
              <w:rPr>
                <w:rFonts w:ascii="Times New Roman"/>
                <w:b/>
                <w:bCs/>
                <w:sz w:val="16"/>
                <w:szCs w:val="16"/>
                <w:lang w:val="nb-NO"/>
              </w:rPr>
              <w:t xml:space="preserve"> (</w:t>
            </w:r>
            <m:oMath>
              <m:sSub>
                <m:sSubPr>
                  <m:ctrlPr>
                    <w:rPr>
                      <w:rFonts w:ascii="Cambria Math" w:hAnsi="Cambria Math"/>
                      <w:i/>
                      <w:sz w:val="16"/>
                      <w:szCs w:val="16"/>
                      <w:lang w:val="nb-NO"/>
                    </w:rPr>
                  </m:ctrlPr>
                </m:sSubPr>
                <m:e>
                  <m:r>
                    <w:rPr>
                      <w:rFonts w:ascii="Cambria Math" w:hAnsi="Cambria Math"/>
                      <w:sz w:val="16"/>
                      <w:szCs w:val="16"/>
                      <w:lang w:val="nb-NO"/>
                    </w:rPr>
                    <m:t>Y</m:t>
                  </m:r>
                </m:e>
                <m:sub>
                  <m:r>
                    <w:rPr>
                      <w:rFonts w:ascii="Cambria Math" w:hAnsi="Cambria Math"/>
                      <w:sz w:val="16"/>
                      <w:szCs w:val="16"/>
                      <w:lang w:val="nb-NO"/>
                    </w:rPr>
                    <m:t>i</m:t>
                  </m:r>
                </m:sub>
              </m:sSub>
              <m:r>
                <w:rPr>
                  <w:rFonts w:ascii="Cambria Math" w:hAnsi="Cambria Math"/>
                  <w:sz w:val="16"/>
                  <w:szCs w:val="16"/>
                  <w:lang w:val="nb-NO"/>
                </w:rPr>
                <m:t>)</m:t>
              </m:r>
            </m:oMath>
          </w:p>
        </w:tc>
        <w:tc>
          <w:tcPr>
            <w:tcW w:w="696" w:type="dxa"/>
            <w:shd w:val="clear" w:color="auto" w:fill="BFBFBF" w:themeFill="background1" w:themeFillShade="BF"/>
            <w:vAlign w:val="center"/>
            <w:hideMark/>
          </w:tcPr>
          <w:p w14:paraId="583D9B1A" w14:textId="77777777" w:rsidR="0029416B" w:rsidRDefault="0029416B" w:rsidP="005D38FE">
            <w:pPr>
              <w:spacing w:after="0" w:line="240" w:lineRule="auto"/>
              <w:jc w:val="center"/>
              <w:rPr>
                <w:rFonts w:ascii="Times New Roman"/>
                <w:b/>
                <w:bCs/>
                <w:sz w:val="16"/>
                <w:szCs w:val="16"/>
                <w:lang w:val="nb-NO"/>
              </w:rPr>
            </w:pPr>
            <w:r w:rsidRPr="005152CA">
              <w:rPr>
                <w:rFonts w:ascii="Times New Roman"/>
                <w:b/>
                <w:bCs/>
                <w:sz w:val="16"/>
                <w:szCs w:val="16"/>
                <w:lang w:val="nb-NO"/>
              </w:rPr>
              <w:t>Δ%MC</w:t>
            </w:r>
          </w:p>
          <w:p w14:paraId="4E741A92" w14:textId="77777777" w:rsidR="0029416B" w:rsidRPr="00880DFD" w:rsidRDefault="0029416B" w:rsidP="005D38FE">
            <w:pPr>
              <w:spacing w:after="0" w:line="240" w:lineRule="auto"/>
              <w:jc w:val="center"/>
              <w:rPr>
                <w:rFonts w:ascii="Times New Roman"/>
                <w:b/>
                <w:bCs/>
                <w:sz w:val="16"/>
                <w:szCs w:val="16"/>
              </w:rPr>
            </w:pPr>
            <w:r w:rsidRPr="005152CA">
              <w:rPr>
                <w:rFonts w:ascii="Times New Roman"/>
                <w:b/>
                <w:bCs/>
                <w:sz w:val="16"/>
                <w:szCs w:val="16"/>
                <w:vertAlign w:val="subscript"/>
                <w:lang w:val="nb-NO"/>
              </w:rPr>
              <w:t>|DO – HMA|</w:t>
            </w:r>
          </w:p>
        </w:tc>
        <w:tc>
          <w:tcPr>
            <w:tcW w:w="697" w:type="dxa"/>
            <w:shd w:val="clear" w:color="auto" w:fill="BFBFBF" w:themeFill="background1" w:themeFillShade="BF"/>
            <w:vAlign w:val="center"/>
            <w:hideMark/>
          </w:tcPr>
          <w:p w14:paraId="572C42FB" w14:textId="77777777" w:rsidR="0029416B" w:rsidRPr="00880DFD" w:rsidRDefault="0029416B" w:rsidP="005D38FE">
            <w:pPr>
              <w:spacing w:after="0" w:line="240" w:lineRule="auto"/>
              <w:jc w:val="center"/>
              <w:rPr>
                <w:rFonts w:ascii="Times New Roman"/>
                <w:b/>
                <w:bCs/>
                <w:sz w:val="16"/>
                <w:szCs w:val="16"/>
              </w:rPr>
            </w:pPr>
            <w:r w:rsidRPr="006D25E0">
              <w:rPr>
                <w:rFonts w:ascii="Times New Roman"/>
                <w:b/>
                <w:bCs/>
                <w:sz w:val="16"/>
                <w:szCs w:val="16"/>
                <w:lang w:val="nb-NO"/>
              </w:rPr>
              <w:t>Acc. Levels</w:t>
            </w:r>
          </w:p>
        </w:tc>
      </w:tr>
      <w:tr w:rsidR="0029416B" w:rsidRPr="00880DFD" w14:paraId="74F9CB73" w14:textId="77777777" w:rsidTr="005D38FE">
        <w:trPr>
          <w:trHeight w:val="209"/>
          <w:jc w:val="center"/>
        </w:trPr>
        <w:tc>
          <w:tcPr>
            <w:tcW w:w="685" w:type="dxa"/>
            <w:shd w:val="clear" w:color="auto" w:fill="D9D9D9" w:themeFill="background1" w:themeFillShade="D9"/>
            <w:vAlign w:val="center"/>
            <w:hideMark/>
          </w:tcPr>
          <w:p w14:paraId="58A8EC47"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n1</w:t>
            </w:r>
          </w:p>
        </w:tc>
        <w:tc>
          <w:tcPr>
            <w:tcW w:w="707" w:type="dxa"/>
            <w:vAlign w:val="center"/>
            <w:hideMark/>
          </w:tcPr>
          <w:p w14:paraId="637D4FCF"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9.68</w:t>
            </w:r>
          </w:p>
        </w:tc>
        <w:tc>
          <w:tcPr>
            <w:tcW w:w="697" w:type="dxa"/>
            <w:vAlign w:val="center"/>
            <w:hideMark/>
          </w:tcPr>
          <w:p w14:paraId="596BA73E"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6.38</w:t>
            </w:r>
          </w:p>
        </w:tc>
        <w:tc>
          <w:tcPr>
            <w:tcW w:w="696" w:type="dxa"/>
            <w:vAlign w:val="center"/>
            <w:hideMark/>
          </w:tcPr>
          <w:p w14:paraId="11FBD6B5"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3.30</w:t>
            </w:r>
          </w:p>
        </w:tc>
        <w:tc>
          <w:tcPr>
            <w:tcW w:w="697" w:type="dxa"/>
            <w:vAlign w:val="center"/>
            <w:hideMark/>
          </w:tcPr>
          <w:p w14:paraId="0568A7C9"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Fail</w:t>
            </w:r>
          </w:p>
        </w:tc>
        <w:tc>
          <w:tcPr>
            <w:tcW w:w="605" w:type="dxa"/>
            <w:shd w:val="clear" w:color="auto" w:fill="D9D9D9" w:themeFill="background1" w:themeFillShade="D9"/>
            <w:vAlign w:val="center"/>
            <w:hideMark/>
          </w:tcPr>
          <w:p w14:paraId="1AF98F2E"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n9</w:t>
            </w:r>
          </w:p>
        </w:tc>
        <w:tc>
          <w:tcPr>
            <w:tcW w:w="787" w:type="dxa"/>
            <w:vAlign w:val="center"/>
            <w:hideMark/>
          </w:tcPr>
          <w:p w14:paraId="72F6A449"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10.58</w:t>
            </w:r>
          </w:p>
        </w:tc>
        <w:tc>
          <w:tcPr>
            <w:tcW w:w="697" w:type="dxa"/>
            <w:vAlign w:val="center"/>
            <w:hideMark/>
          </w:tcPr>
          <w:p w14:paraId="7B0976C8"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6.10</w:t>
            </w:r>
          </w:p>
        </w:tc>
        <w:tc>
          <w:tcPr>
            <w:tcW w:w="696" w:type="dxa"/>
            <w:vAlign w:val="center"/>
            <w:hideMark/>
          </w:tcPr>
          <w:p w14:paraId="351ED702"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4.48</w:t>
            </w:r>
          </w:p>
        </w:tc>
        <w:tc>
          <w:tcPr>
            <w:tcW w:w="697" w:type="dxa"/>
            <w:vAlign w:val="center"/>
            <w:hideMark/>
          </w:tcPr>
          <w:p w14:paraId="7B2B4768"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Fail</w:t>
            </w:r>
          </w:p>
        </w:tc>
        <w:tc>
          <w:tcPr>
            <w:tcW w:w="667" w:type="dxa"/>
            <w:shd w:val="clear" w:color="auto" w:fill="D9D9D9" w:themeFill="background1" w:themeFillShade="D9"/>
            <w:vAlign w:val="center"/>
            <w:hideMark/>
          </w:tcPr>
          <w:p w14:paraId="465F5F43"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n17</w:t>
            </w:r>
          </w:p>
        </w:tc>
        <w:tc>
          <w:tcPr>
            <w:tcW w:w="725" w:type="dxa"/>
            <w:vAlign w:val="center"/>
            <w:hideMark/>
          </w:tcPr>
          <w:p w14:paraId="53D65831"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11.14</w:t>
            </w:r>
          </w:p>
        </w:tc>
        <w:tc>
          <w:tcPr>
            <w:tcW w:w="697" w:type="dxa"/>
            <w:vAlign w:val="center"/>
            <w:hideMark/>
          </w:tcPr>
          <w:p w14:paraId="61023B3F"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7.53</w:t>
            </w:r>
          </w:p>
        </w:tc>
        <w:tc>
          <w:tcPr>
            <w:tcW w:w="696" w:type="dxa"/>
            <w:vAlign w:val="center"/>
            <w:hideMark/>
          </w:tcPr>
          <w:p w14:paraId="2DA7CBDC"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3.61</w:t>
            </w:r>
          </w:p>
        </w:tc>
        <w:tc>
          <w:tcPr>
            <w:tcW w:w="697" w:type="dxa"/>
            <w:vAlign w:val="center"/>
            <w:hideMark/>
          </w:tcPr>
          <w:p w14:paraId="194486F3"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Fail</w:t>
            </w:r>
          </w:p>
        </w:tc>
      </w:tr>
      <w:tr w:rsidR="0029416B" w:rsidRPr="00880DFD" w14:paraId="42D2423D" w14:textId="77777777" w:rsidTr="005D38FE">
        <w:trPr>
          <w:trHeight w:val="209"/>
          <w:jc w:val="center"/>
        </w:trPr>
        <w:tc>
          <w:tcPr>
            <w:tcW w:w="685" w:type="dxa"/>
            <w:shd w:val="clear" w:color="auto" w:fill="D9D9D9" w:themeFill="background1" w:themeFillShade="D9"/>
            <w:vAlign w:val="center"/>
            <w:hideMark/>
          </w:tcPr>
          <w:p w14:paraId="2DFEFD4E"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n2</w:t>
            </w:r>
          </w:p>
        </w:tc>
        <w:tc>
          <w:tcPr>
            <w:tcW w:w="707" w:type="dxa"/>
            <w:vAlign w:val="center"/>
            <w:hideMark/>
          </w:tcPr>
          <w:p w14:paraId="2A485CFF"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9.74</w:t>
            </w:r>
          </w:p>
        </w:tc>
        <w:tc>
          <w:tcPr>
            <w:tcW w:w="697" w:type="dxa"/>
            <w:vAlign w:val="center"/>
            <w:hideMark/>
          </w:tcPr>
          <w:p w14:paraId="35247D4D"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6.67</w:t>
            </w:r>
          </w:p>
        </w:tc>
        <w:tc>
          <w:tcPr>
            <w:tcW w:w="696" w:type="dxa"/>
            <w:vAlign w:val="center"/>
            <w:hideMark/>
          </w:tcPr>
          <w:p w14:paraId="53E7C492"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3.07</w:t>
            </w:r>
          </w:p>
        </w:tc>
        <w:tc>
          <w:tcPr>
            <w:tcW w:w="697" w:type="dxa"/>
            <w:vAlign w:val="center"/>
            <w:hideMark/>
          </w:tcPr>
          <w:p w14:paraId="7D6CE775"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Fail</w:t>
            </w:r>
          </w:p>
        </w:tc>
        <w:tc>
          <w:tcPr>
            <w:tcW w:w="605" w:type="dxa"/>
            <w:shd w:val="clear" w:color="auto" w:fill="D9D9D9" w:themeFill="background1" w:themeFillShade="D9"/>
            <w:vAlign w:val="center"/>
            <w:hideMark/>
          </w:tcPr>
          <w:p w14:paraId="55F86C36"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n10</w:t>
            </w:r>
          </w:p>
        </w:tc>
        <w:tc>
          <w:tcPr>
            <w:tcW w:w="787" w:type="dxa"/>
            <w:vAlign w:val="center"/>
            <w:hideMark/>
          </w:tcPr>
          <w:p w14:paraId="365C456F"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9.84</w:t>
            </w:r>
          </w:p>
        </w:tc>
        <w:tc>
          <w:tcPr>
            <w:tcW w:w="697" w:type="dxa"/>
            <w:vAlign w:val="center"/>
            <w:hideMark/>
          </w:tcPr>
          <w:p w14:paraId="0CE089CB"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6.73</w:t>
            </w:r>
          </w:p>
        </w:tc>
        <w:tc>
          <w:tcPr>
            <w:tcW w:w="696" w:type="dxa"/>
            <w:vAlign w:val="center"/>
            <w:hideMark/>
          </w:tcPr>
          <w:p w14:paraId="1D12FBC0"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3.11</w:t>
            </w:r>
          </w:p>
        </w:tc>
        <w:tc>
          <w:tcPr>
            <w:tcW w:w="697" w:type="dxa"/>
            <w:vAlign w:val="center"/>
            <w:hideMark/>
          </w:tcPr>
          <w:p w14:paraId="7C50C7C4"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Fail</w:t>
            </w:r>
          </w:p>
        </w:tc>
        <w:tc>
          <w:tcPr>
            <w:tcW w:w="667" w:type="dxa"/>
            <w:shd w:val="clear" w:color="auto" w:fill="D9D9D9" w:themeFill="background1" w:themeFillShade="D9"/>
            <w:vAlign w:val="center"/>
            <w:hideMark/>
          </w:tcPr>
          <w:p w14:paraId="420CB44C"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n18</w:t>
            </w:r>
          </w:p>
        </w:tc>
        <w:tc>
          <w:tcPr>
            <w:tcW w:w="725" w:type="dxa"/>
            <w:vAlign w:val="center"/>
            <w:hideMark/>
          </w:tcPr>
          <w:p w14:paraId="7C6D9874"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10.14</w:t>
            </w:r>
          </w:p>
        </w:tc>
        <w:tc>
          <w:tcPr>
            <w:tcW w:w="697" w:type="dxa"/>
            <w:vAlign w:val="center"/>
            <w:hideMark/>
          </w:tcPr>
          <w:p w14:paraId="137E99F9"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6.69</w:t>
            </w:r>
          </w:p>
        </w:tc>
        <w:tc>
          <w:tcPr>
            <w:tcW w:w="696" w:type="dxa"/>
            <w:vAlign w:val="center"/>
            <w:hideMark/>
          </w:tcPr>
          <w:p w14:paraId="7AE5946F"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3.45</w:t>
            </w:r>
          </w:p>
        </w:tc>
        <w:tc>
          <w:tcPr>
            <w:tcW w:w="697" w:type="dxa"/>
            <w:vAlign w:val="center"/>
            <w:hideMark/>
          </w:tcPr>
          <w:p w14:paraId="547C6241"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Fail</w:t>
            </w:r>
          </w:p>
        </w:tc>
      </w:tr>
      <w:tr w:rsidR="0029416B" w:rsidRPr="00880DFD" w14:paraId="58A4382D" w14:textId="77777777" w:rsidTr="005D38FE">
        <w:trPr>
          <w:trHeight w:val="209"/>
          <w:jc w:val="center"/>
        </w:trPr>
        <w:tc>
          <w:tcPr>
            <w:tcW w:w="685" w:type="dxa"/>
            <w:shd w:val="clear" w:color="auto" w:fill="D9D9D9" w:themeFill="background1" w:themeFillShade="D9"/>
            <w:vAlign w:val="center"/>
            <w:hideMark/>
          </w:tcPr>
          <w:p w14:paraId="1743E3D9"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n3</w:t>
            </w:r>
          </w:p>
        </w:tc>
        <w:tc>
          <w:tcPr>
            <w:tcW w:w="707" w:type="dxa"/>
            <w:vAlign w:val="center"/>
            <w:hideMark/>
          </w:tcPr>
          <w:p w14:paraId="2288AC76"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10.46</w:t>
            </w:r>
          </w:p>
        </w:tc>
        <w:tc>
          <w:tcPr>
            <w:tcW w:w="697" w:type="dxa"/>
            <w:vAlign w:val="center"/>
            <w:hideMark/>
          </w:tcPr>
          <w:p w14:paraId="704D0048"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6.60</w:t>
            </w:r>
          </w:p>
        </w:tc>
        <w:tc>
          <w:tcPr>
            <w:tcW w:w="696" w:type="dxa"/>
            <w:vAlign w:val="center"/>
            <w:hideMark/>
          </w:tcPr>
          <w:p w14:paraId="5510CD0E"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3.86</w:t>
            </w:r>
          </w:p>
        </w:tc>
        <w:tc>
          <w:tcPr>
            <w:tcW w:w="697" w:type="dxa"/>
            <w:vAlign w:val="center"/>
            <w:hideMark/>
          </w:tcPr>
          <w:p w14:paraId="00977884"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Fail</w:t>
            </w:r>
          </w:p>
        </w:tc>
        <w:tc>
          <w:tcPr>
            <w:tcW w:w="605" w:type="dxa"/>
            <w:shd w:val="clear" w:color="auto" w:fill="D9D9D9" w:themeFill="background1" w:themeFillShade="D9"/>
            <w:vAlign w:val="center"/>
            <w:hideMark/>
          </w:tcPr>
          <w:p w14:paraId="4DF71F0B"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n11</w:t>
            </w:r>
          </w:p>
        </w:tc>
        <w:tc>
          <w:tcPr>
            <w:tcW w:w="787" w:type="dxa"/>
            <w:vAlign w:val="center"/>
            <w:hideMark/>
          </w:tcPr>
          <w:p w14:paraId="1C6EC097"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9.50</w:t>
            </w:r>
          </w:p>
        </w:tc>
        <w:tc>
          <w:tcPr>
            <w:tcW w:w="697" w:type="dxa"/>
            <w:vAlign w:val="center"/>
            <w:hideMark/>
          </w:tcPr>
          <w:p w14:paraId="5FDF2CC2"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6.63</w:t>
            </w:r>
          </w:p>
        </w:tc>
        <w:tc>
          <w:tcPr>
            <w:tcW w:w="696" w:type="dxa"/>
            <w:vAlign w:val="center"/>
            <w:hideMark/>
          </w:tcPr>
          <w:p w14:paraId="0FC4E865"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2.87</w:t>
            </w:r>
          </w:p>
        </w:tc>
        <w:tc>
          <w:tcPr>
            <w:tcW w:w="697" w:type="dxa"/>
            <w:vAlign w:val="center"/>
            <w:hideMark/>
          </w:tcPr>
          <w:p w14:paraId="10141CF9"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Fail</w:t>
            </w:r>
          </w:p>
        </w:tc>
        <w:tc>
          <w:tcPr>
            <w:tcW w:w="667" w:type="dxa"/>
            <w:shd w:val="clear" w:color="auto" w:fill="D9D9D9" w:themeFill="background1" w:themeFillShade="D9"/>
            <w:vAlign w:val="center"/>
            <w:hideMark/>
          </w:tcPr>
          <w:p w14:paraId="6EA82B5C"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n19</w:t>
            </w:r>
          </w:p>
        </w:tc>
        <w:tc>
          <w:tcPr>
            <w:tcW w:w="725" w:type="dxa"/>
            <w:vAlign w:val="center"/>
            <w:hideMark/>
          </w:tcPr>
          <w:p w14:paraId="44945D63"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10.69</w:t>
            </w:r>
          </w:p>
        </w:tc>
        <w:tc>
          <w:tcPr>
            <w:tcW w:w="697" w:type="dxa"/>
            <w:vAlign w:val="center"/>
            <w:hideMark/>
          </w:tcPr>
          <w:p w14:paraId="0ACF6746"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7.32</w:t>
            </w:r>
          </w:p>
        </w:tc>
        <w:tc>
          <w:tcPr>
            <w:tcW w:w="696" w:type="dxa"/>
            <w:vAlign w:val="center"/>
            <w:hideMark/>
          </w:tcPr>
          <w:p w14:paraId="51B9A6C5"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3.37</w:t>
            </w:r>
          </w:p>
        </w:tc>
        <w:tc>
          <w:tcPr>
            <w:tcW w:w="697" w:type="dxa"/>
            <w:vAlign w:val="center"/>
            <w:hideMark/>
          </w:tcPr>
          <w:p w14:paraId="5A3FB233"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Fail</w:t>
            </w:r>
          </w:p>
        </w:tc>
      </w:tr>
      <w:tr w:rsidR="0029416B" w:rsidRPr="00880DFD" w14:paraId="1E418861" w14:textId="77777777" w:rsidTr="005D38FE">
        <w:trPr>
          <w:trHeight w:val="209"/>
          <w:jc w:val="center"/>
        </w:trPr>
        <w:tc>
          <w:tcPr>
            <w:tcW w:w="685" w:type="dxa"/>
            <w:shd w:val="clear" w:color="auto" w:fill="D9D9D9" w:themeFill="background1" w:themeFillShade="D9"/>
            <w:vAlign w:val="center"/>
            <w:hideMark/>
          </w:tcPr>
          <w:p w14:paraId="2F0BF489"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n4</w:t>
            </w:r>
          </w:p>
        </w:tc>
        <w:tc>
          <w:tcPr>
            <w:tcW w:w="707" w:type="dxa"/>
            <w:vAlign w:val="center"/>
            <w:hideMark/>
          </w:tcPr>
          <w:p w14:paraId="78B0EB9B"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10.93</w:t>
            </w:r>
          </w:p>
        </w:tc>
        <w:tc>
          <w:tcPr>
            <w:tcW w:w="697" w:type="dxa"/>
            <w:vAlign w:val="center"/>
            <w:hideMark/>
          </w:tcPr>
          <w:p w14:paraId="364B9039"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6.70</w:t>
            </w:r>
          </w:p>
        </w:tc>
        <w:tc>
          <w:tcPr>
            <w:tcW w:w="696" w:type="dxa"/>
            <w:vAlign w:val="center"/>
            <w:hideMark/>
          </w:tcPr>
          <w:p w14:paraId="0BE89860"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4.23</w:t>
            </w:r>
          </w:p>
        </w:tc>
        <w:tc>
          <w:tcPr>
            <w:tcW w:w="697" w:type="dxa"/>
            <w:vAlign w:val="center"/>
            <w:hideMark/>
          </w:tcPr>
          <w:p w14:paraId="752A6128"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Fail</w:t>
            </w:r>
          </w:p>
        </w:tc>
        <w:tc>
          <w:tcPr>
            <w:tcW w:w="605" w:type="dxa"/>
            <w:shd w:val="clear" w:color="auto" w:fill="D9D9D9" w:themeFill="background1" w:themeFillShade="D9"/>
            <w:vAlign w:val="center"/>
            <w:hideMark/>
          </w:tcPr>
          <w:p w14:paraId="75DE23E7"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n12</w:t>
            </w:r>
          </w:p>
        </w:tc>
        <w:tc>
          <w:tcPr>
            <w:tcW w:w="787" w:type="dxa"/>
            <w:vAlign w:val="center"/>
            <w:hideMark/>
          </w:tcPr>
          <w:p w14:paraId="6614562B"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11.02</w:t>
            </w:r>
          </w:p>
        </w:tc>
        <w:tc>
          <w:tcPr>
            <w:tcW w:w="697" w:type="dxa"/>
            <w:vAlign w:val="center"/>
            <w:hideMark/>
          </w:tcPr>
          <w:p w14:paraId="353A9633"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7.21</w:t>
            </w:r>
          </w:p>
        </w:tc>
        <w:tc>
          <w:tcPr>
            <w:tcW w:w="696" w:type="dxa"/>
            <w:vAlign w:val="center"/>
            <w:hideMark/>
          </w:tcPr>
          <w:p w14:paraId="23A0EF8E"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3.81</w:t>
            </w:r>
          </w:p>
        </w:tc>
        <w:tc>
          <w:tcPr>
            <w:tcW w:w="697" w:type="dxa"/>
            <w:vAlign w:val="center"/>
            <w:hideMark/>
          </w:tcPr>
          <w:p w14:paraId="7012E9EF"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Fail</w:t>
            </w:r>
          </w:p>
        </w:tc>
        <w:tc>
          <w:tcPr>
            <w:tcW w:w="667" w:type="dxa"/>
            <w:shd w:val="clear" w:color="auto" w:fill="D9D9D9" w:themeFill="background1" w:themeFillShade="D9"/>
            <w:vAlign w:val="center"/>
            <w:hideMark/>
          </w:tcPr>
          <w:p w14:paraId="20A55D61"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n20</w:t>
            </w:r>
          </w:p>
        </w:tc>
        <w:tc>
          <w:tcPr>
            <w:tcW w:w="725" w:type="dxa"/>
            <w:vAlign w:val="center"/>
            <w:hideMark/>
          </w:tcPr>
          <w:p w14:paraId="02FC06EB"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10.25</w:t>
            </w:r>
          </w:p>
        </w:tc>
        <w:tc>
          <w:tcPr>
            <w:tcW w:w="697" w:type="dxa"/>
            <w:vAlign w:val="center"/>
            <w:hideMark/>
          </w:tcPr>
          <w:p w14:paraId="19A20D16"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7.46</w:t>
            </w:r>
          </w:p>
        </w:tc>
        <w:tc>
          <w:tcPr>
            <w:tcW w:w="696" w:type="dxa"/>
            <w:vAlign w:val="center"/>
            <w:hideMark/>
          </w:tcPr>
          <w:p w14:paraId="78DCC2CF"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2.79</w:t>
            </w:r>
          </w:p>
        </w:tc>
        <w:tc>
          <w:tcPr>
            <w:tcW w:w="697" w:type="dxa"/>
            <w:vAlign w:val="center"/>
            <w:hideMark/>
          </w:tcPr>
          <w:p w14:paraId="482A6A6C"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Fail</w:t>
            </w:r>
          </w:p>
        </w:tc>
      </w:tr>
      <w:tr w:rsidR="0029416B" w:rsidRPr="00880DFD" w14:paraId="7B5A97B9" w14:textId="77777777" w:rsidTr="005D38FE">
        <w:trPr>
          <w:trHeight w:val="209"/>
          <w:jc w:val="center"/>
        </w:trPr>
        <w:tc>
          <w:tcPr>
            <w:tcW w:w="685" w:type="dxa"/>
            <w:shd w:val="clear" w:color="auto" w:fill="D9D9D9" w:themeFill="background1" w:themeFillShade="D9"/>
            <w:vAlign w:val="center"/>
            <w:hideMark/>
          </w:tcPr>
          <w:p w14:paraId="5319AE3B"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n5</w:t>
            </w:r>
          </w:p>
        </w:tc>
        <w:tc>
          <w:tcPr>
            <w:tcW w:w="707" w:type="dxa"/>
            <w:vAlign w:val="center"/>
            <w:hideMark/>
          </w:tcPr>
          <w:p w14:paraId="1B3DE1BB"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9.01</w:t>
            </w:r>
          </w:p>
        </w:tc>
        <w:tc>
          <w:tcPr>
            <w:tcW w:w="697" w:type="dxa"/>
            <w:vAlign w:val="center"/>
            <w:hideMark/>
          </w:tcPr>
          <w:p w14:paraId="300983AC"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5.94</w:t>
            </w:r>
          </w:p>
        </w:tc>
        <w:tc>
          <w:tcPr>
            <w:tcW w:w="696" w:type="dxa"/>
            <w:vAlign w:val="center"/>
            <w:hideMark/>
          </w:tcPr>
          <w:p w14:paraId="780D34EC"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3.07</w:t>
            </w:r>
          </w:p>
        </w:tc>
        <w:tc>
          <w:tcPr>
            <w:tcW w:w="697" w:type="dxa"/>
            <w:vAlign w:val="center"/>
            <w:hideMark/>
          </w:tcPr>
          <w:p w14:paraId="2DB440F7"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Fail</w:t>
            </w:r>
          </w:p>
        </w:tc>
        <w:tc>
          <w:tcPr>
            <w:tcW w:w="605" w:type="dxa"/>
            <w:shd w:val="clear" w:color="auto" w:fill="D9D9D9" w:themeFill="background1" w:themeFillShade="D9"/>
            <w:vAlign w:val="center"/>
            <w:hideMark/>
          </w:tcPr>
          <w:p w14:paraId="772D07B0"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n13</w:t>
            </w:r>
          </w:p>
        </w:tc>
        <w:tc>
          <w:tcPr>
            <w:tcW w:w="787" w:type="dxa"/>
            <w:vAlign w:val="center"/>
            <w:hideMark/>
          </w:tcPr>
          <w:p w14:paraId="158CE17A"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11.11</w:t>
            </w:r>
          </w:p>
        </w:tc>
        <w:tc>
          <w:tcPr>
            <w:tcW w:w="697" w:type="dxa"/>
            <w:vAlign w:val="center"/>
            <w:hideMark/>
          </w:tcPr>
          <w:p w14:paraId="58B2C695"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6.85</w:t>
            </w:r>
          </w:p>
        </w:tc>
        <w:tc>
          <w:tcPr>
            <w:tcW w:w="696" w:type="dxa"/>
            <w:vAlign w:val="center"/>
            <w:hideMark/>
          </w:tcPr>
          <w:p w14:paraId="5D7923FC"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4.26</w:t>
            </w:r>
          </w:p>
        </w:tc>
        <w:tc>
          <w:tcPr>
            <w:tcW w:w="697" w:type="dxa"/>
            <w:vAlign w:val="center"/>
            <w:hideMark/>
          </w:tcPr>
          <w:p w14:paraId="0B665CEE"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Fail</w:t>
            </w:r>
          </w:p>
        </w:tc>
        <w:tc>
          <w:tcPr>
            <w:tcW w:w="667" w:type="dxa"/>
            <w:shd w:val="clear" w:color="auto" w:fill="D9D9D9" w:themeFill="background1" w:themeFillShade="D9"/>
            <w:vAlign w:val="center"/>
            <w:hideMark/>
          </w:tcPr>
          <w:p w14:paraId="7107DCE4"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n21</w:t>
            </w:r>
          </w:p>
        </w:tc>
        <w:tc>
          <w:tcPr>
            <w:tcW w:w="725" w:type="dxa"/>
            <w:vAlign w:val="center"/>
            <w:hideMark/>
          </w:tcPr>
          <w:p w14:paraId="55B20D24"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11.08</w:t>
            </w:r>
          </w:p>
        </w:tc>
        <w:tc>
          <w:tcPr>
            <w:tcW w:w="697" w:type="dxa"/>
            <w:vAlign w:val="center"/>
            <w:hideMark/>
          </w:tcPr>
          <w:p w14:paraId="2AAEF0BA"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7.72</w:t>
            </w:r>
          </w:p>
        </w:tc>
        <w:tc>
          <w:tcPr>
            <w:tcW w:w="696" w:type="dxa"/>
            <w:vAlign w:val="center"/>
            <w:hideMark/>
          </w:tcPr>
          <w:p w14:paraId="1455D076"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3.36</w:t>
            </w:r>
          </w:p>
        </w:tc>
        <w:tc>
          <w:tcPr>
            <w:tcW w:w="697" w:type="dxa"/>
            <w:vAlign w:val="center"/>
            <w:hideMark/>
          </w:tcPr>
          <w:p w14:paraId="3B2AFDE2"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Fail</w:t>
            </w:r>
          </w:p>
        </w:tc>
      </w:tr>
      <w:tr w:rsidR="0029416B" w:rsidRPr="00880DFD" w14:paraId="455F2E68" w14:textId="77777777" w:rsidTr="005D38FE">
        <w:trPr>
          <w:trHeight w:val="209"/>
          <w:jc w:val="center"/>
        </w:trPr>
        <w:tc>
          <w:tcPr>
            <w:tcW w:w="685" w:type="dxa"/>
            <w:shd w:val="clear" w:color="auto" w:fill="D9D9D9" w:themeFill="background1" w:themeFillShade="D9"/>
            <w:vAlign w:val="center"/>
            <w:hideMark/>
          </w:tcPr>
          <w:p w14:paraId="5D7B7F21"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n6</w:t>
            </w:r>
          </w:p>
        </w:tc>
        <w:tc>
          <w:tcPr>
            <w:tcW w:w="707" w:type="dxa"/>
            <w:vAlign w:val="center"/>
            <w:hideMark/>
          </w:tcPr>
          <w:p w14:paraId="65C8F69E"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10.04</w:t>
            </w:r>
          </w:p>
        </w:tc>
        <w:tc>
          <w:tcPr>
            <w:tcW w:w="697" w:type="dxa"/>
            <w:vAlign w:val="center"/>
            <w:hideMark/>
          </w:tcPr>
          <w:p w14:paraId="69A9FF3C"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5.88</w:t>
            </w:r>
          </w:p>
        </w:tc>
        <w:tc>
          <w:tcPr>
            <w:tcW w:w="696" w:type="dxa"/>
            <w:vAlign w:val="center"/>
            <w:hideMark/>
          </w:tcPr>
          <w:p w14:paraId="39B199F5"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4.16</w:t>
            </w:r>
          </w:p>
        </w:tc>
        <w:tc>
          <w:tcPr>
            <w:tcW w:w="697" w:type="dxa"/>
            <w:vAlign w:val="center"/>
            <w:hideMark/>
          </w:tcPr>
          <w:p w14:paraId="6D6C1AD3"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Fail</w:t>
            </w:r>
          </w:p>
        </w:tc>
        <w:tc>
          <w:tcPr>
            <w:tcW w:w="605" w:type="dxa"/>
            <w:shd w:val="clear" w:color="auto" w:fill="D9D9D9" w:themeFill="background1" w:themeFillShade="D9"/>
            <w:vAlign w:val="center"/>
            <w:hideMark/>
          </w:tcPr>
          <w:p w14:paraId="674E1426"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n14</w:t>
            </w:r>
          </w:p>
        </w:tc>
        <w:tc>
          <w:tcPr>
            <w:tcW w:w="787" w:type="dxa"/>
            <w:vAlign w:val="center"/>
            <w:hideMark/>
          </w:tcPr>
          <w:p w14:paraId="3967ED9E"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11.23</w:t>
            </w:r>
          </w:p>
        </w:tc>
        <w:tc>
          <w:tcPr>
            <w:tcW w:w="697" w:type="dxa"/>
            <w:vAlign w:val="center"/>
            <w:hideMark/>
          </w:tcPr>
          <w:p w14:paraId="63138AE2"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7.08</w:t>
            </w:r>
          </w:p>
        </w:tc>
        <w:tc>
          <w:tcPr>
            <w:tcW w:w="696" w:type="dxa"/>
            <w:vAlign w:val="center"/>
            <w:hideMark/>
          </w:tcPr>
          <w:p w14:paraId="7FC3DAB0"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4.15</w:t>
            </w:r>
          </w:p>
        </w:tc>
        <w:tc>
          <w:tcPr>
            <w:tcW w:w="697" w:type="dxa"/>
            <w:vAlign w:val="center"/>
            <w:hideMark/>
          </w:tcPr>
          <w:p w14:paraId="17A982EF"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Fail</w:t>
            </w:r>
          </w:p>
        </w:tc>
        <w:tc>
          <w:tcPr>
            <w:tcW w:w="667" w:type="dxa"/>
            <w:shd w:val="clear" w:color="auto" w:fill="D9D9D9" w:themeFill="background1" w:themeFillShade="D9"/>
            <w:vAlign w:val="center"/>
            <w:hideMark/>
          </w:tcPr>
          <w:p w14:paraId="5D10BB00"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n22</w:t>
            </w:r>
          </w:p>
        </w:tc>
        <w:tc>
          <w:tcPr>
            <w:tcW w:w="725" w:type="dxa"/>
            <w:vAlign w:val="center"/>
            <w:hideMark/>
          </w:tcPr>
          <w:p w14:paraId="65E2E755"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10.28</w:t>
            </w:r>
          </w:p>
        </w:tc>
        <w:tc>
          <w:tcPr>
            <w:tcW w:w="697" w:type="dxa"/>
            <w:vAlign w:val="center"/>
            <w:hideMark/>
          </w:tcPr>
          <w:p w14:paraId="4CD19D24"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6.95</w:t>
            </w:r>
          </w:p>
        </w:tc>
        <w:tc>
          <w:tcPr>
            <w:tcW w:w="696" w:type="dxa"/>
            <w:vAlign w:val="center"/>
            <w:hideMark/>
          </w:tcPr>
          <w:p w14:paraId="2086522F"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3.33</w:t>
            </w:r>
          </w:p>
        </w:tc>
        <w:tc>
          <w:tcPr>
            <w:tcW w:w="697" w:type="dxa"/>
            <w:vAlign w:val="center"/>
            <w:hideMark/>
          </w:tcPr>
          <w:p w14:paraId="5C0BA253"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Fail</w:t>
            </w:r>
          </w:p>
        </w:tc>
      </w:tr>
      <w:tr w:rsidR="0029416B" w:rsidRPr="00880DFD" w14:paraId="79B0616C" w14:textId="77777777" w:rsidTr="005D38FE">
        <w:trPr>
          <w:trHeight w:val="209"/>
          <w:jc w:val="center"/>
        </w:trPr>
        <w:tc>
          <w:tcPr>
            <w:tcW w:w="685" w:type="dxa"/>
            <w:shd w:val="clear" w:color="auto" w:fill="D9D9D9" w:themeFill="background1" w:themeFillShade="D9"/>
            <w:vAlign w:val="center"/>
            <w:hideMark/>
          </w:tcPr>
          <w:p w14:paraId="6F8426F7"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n7</w:t>
            </w:r>
          </w:p>
        </w:tc>
        <w:tc>
          <w:tcPr>
            <w:tcW w:w="707" w:type="dxa"/>
            <w:vAlign w:val="center"/>
            <w:hideMark/>
          </w:tcPr>
          <w:p w14:paraId="3BD7D41B"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9.79</w:t>
            </w:r>
          </w:p>
        </w:tc>
        <w:tc>
          <w:tcPr>
            <w:tcW w:w="697" w:type="dxa"/>
            <w:vAlign w:val="center"/>
            <w:hideMark/>
          </w:tcPr>
          <w:p w14:paraId="61F0EBBE"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6.29</w:t>
            </w:r>
          </w:p>
        </w:tc>
        <w:tc>
          <w:tcPr>
            <w:tcW w:w="696" w:type="dxa"/>
            <w:vAlign w:val="center"/>
            <w:hideMark/>
          </w:tcPr>
          <w:p w14:paraId="7290D35A"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3.50</w:t>
            </w:r>
          </w:p>
        </w:tc>
        <w:tc>
          <w:tcPr>
            <w:tcW w:w="697" w:type="dxa"/>
            <w:vAlign w:val="center"/>
            <w:hideMark/>
          </w:tcPr>
          <w:p w14:paraId="39092326"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Fail</w:t>
            </w:r>
          </w:p>
        </w:tc>
        <w:tc>
          <w:tcPr>
            <w:tcW w:w="605" w:type="dxa"/>
            <w:shd w:val="clear" w:color="auto" w:fill="D9D9D9" w:themeFill="background1" w:themeFillShade="D9"/>
            <w:vAlign w:val="center"/>
            <w:hideMark/>
          </w:tcPr>
          <w:p w14:paraId="2E964199"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n15</w:t>
            </w:r>
          </w:p>
        </w:tc>
        <w:tc>
          <w:tcPr>
            <w:tcW w:w="787" w:type="dxa"/>
            <w:vAlign w:val="center"/>
            <w:hideMark/>
          </w:tcPr>
          <w:p w14:paraId="555F476C"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9.87</w:t>
            </w:r>
          </w:p>
        </w:tc>
        <w:tc>
          <w:tcPr>
            <w:tcW w:w="697" w:type="dxa"/>
            <w:vAlign w:val="center"/>
            <w:hideMark/>
          </w:tcPr>
          <w:p w14:paraId="4343E6F5"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7.14</w:t>
            </w:r>
          </w:p>
        </w:tc>
        <w:tc>
          <w:tcPr>
            <w:tcW w:w="696" w:type="dxa"/>
            <w:vAlign w:val="center"/>
            <w:hideMark/>
          </w:tcPr>
          <w:p w14:paraId="1F000DFD"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2.73</w:t>
            </w:r>
          </w:p>
        </w:tc>
        <w:tc>
          <w:tcPr>
            <w:tcW w:w="697" w:type="dxa"/>
            <w:vAlign w:val="center"/>
            <w:hideMark/>
          </w:tcPr>
          <w:p w14:paraId="6025533D"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Fail</w:t>
            </w:r>
          </w:p>
        </w:tc>
        <w:tc>
          <w:tcPr>
            <w:tcW w:w="667" w:type="dxa"/>
            <w:shd w:val="clear" w:color="auto" w:fill="D9D9D9" w:themeFill="background1" w:themeFillShade="D9"/>
            <w:vAlign w:val="center"/>
            <w:hideMark/>
          </w:tcPr>
          <w:p w14:paraId="12F72B12"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n23</w:t>
            </w:r>
          </w:p>
        </w:tc>
        <w:tc>
          <w:tcPr>
            <w:tcW w:w="725" w:type="dxa"/>
            <w:vAlign w:val="center"/>
            <w:hideMark/>
          </w:tcPr>
          <w:p w14:paraId="2F3C1833"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10.82</w:t>
            </w:r>
          </w:p>
        </w:tc>
        <w:tc>
          <w:tcPr>
            <w:tcW w:w="697" w:type="dxa"/>
            <w:vAlign w:val="center"/>
            <w:hideMark/>
          </w:tcPr>
          <w:p w14:paraId="2F791B05"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7.40</w:t>
            </w:r>
          </w:p>
        </w:tc>
        <w:tc>
          <w:tcPr>
            <w:tcW w:w="696" w:type="dxa"/>
            <w:vAlign w:val="center"/>
            <w:hideMark/>
          </w:tcPr>
          <w:p w14:paraId="540E5506"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3.42</w:t>
            </w:r>
          </w:p>
        </w:tc>
        <w:tc>
          <w:tcPr>
            <w:tcW w:w="697" w:type="dxa"/>
            <w:vAlign w:val="center"/>
            <w:hideMark/>
          </w:tcPr>
          <w:p w14:paraId="44E0A896"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Fail</w:t>
            </w:r>
          </w:p>
        </w:tc>
      </w:tr>
      <w:tr w:rsidR="0029416B" w:rsidRPr="00880DFD" w14:paraId="391105F5" w14:textId="77777777" w:rsidTr="005D38FE">
        <w:trPr>
          <w:trHeight w:val="209"/>
          <w:jc w:val="center"/>
        </w:trPr>
        <w:tc>
          <w:tcPr>
            <w:tcW w:w="685" w:type="dxa"/>
            <w:shd w:val="clear" w:color="auto" w:fill="D9D9D9" w:themeFill="background1" w:themeFillShade="D9"/>
            <w:vAlign w:val="center"/>
            <w:hideMark/>
          </w:tcPr>
          <w:p w14:paraId="7E9671C1"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n8</w:t>
            </w:r>
          </w:p>
        </w:tc>
        <w:tc>
          <w:tcPr>
            <w:tcW w:w="707" w:type="dxa"/>
            <w:vAlign w:val="center"/>
            <w:hideMark/>
          </w:tcPr>
          <w:p w14:paraId="6C96ED53"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9.58</w:t>
            </w:r>
          </w:p>
        </w:tc>
        <w:tc>
          <w:tcPr>
            <w:tcW w:w="697" w:type="dxa"/>
            <w:vAlign w:val="center"/>
            <w:hideMark/>
          </w:tcPr>
          <w:p w14:paraId="751B7EDD"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6.33</w:t>
            </w:r>
          </w:p>
        </w:tc>
        <w:tc>
          <w:tcPr>
            <w:tcW w:w="696" w:type="dxa"/>
            <w:vAlign w:val="center"/>
            <w:hideMark/>
          </w:tcPr>
          <w:p w14:paraId="3ADECBE9"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3.25</w:t>
            </w:r>
          </w:p>
        </w:tc>
        <w:tc>
          <w:tcPr>
            <w:tcW w:w="697" w:type="dxa"/>
            <w:vAlign w:val="center"/>
            <w:hideMark/>
          </w:tcPr>
          <w:p w14:paraId="10418B94"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Fail</w:t>
            </w:r>
          </w:p>
        </w:tc>
        <w:tc>
          <w:tcPr>
            <w:tcW w:w="605" w:type="dxa"/>
            <w:shd w:val="clear" w:color="auto" w:fill="D9D9D9" w:themeFill="background1" w:themeFillShade="D9"/>
            <w:vAlign w:val="center"/>
            <w:hideMark/>
          </w:tcPr>
          <w:p w14:paraId="3D946FC1"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n16</w:t>
            </w:r>
          </w:p>
        </w:tc>
        <w:tc>
          <w:tcPr>
            <w:tcW w:w="787" w:type="dxa"/>
            <w:vAlign w:val="center"/>
            <w:hideMark/>
          </w:tcPr>
          <w:p w14:paraId="0290016E"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10.63</w:t>
            </w:r>
          </w:p>
        </w:tc>
        <w:tc>
          <w:tcPr>
            <w:tcW w:w="697" w:type="dxa"/>
            <w:vAlign w:val="center"/>
            <w:hideMark/>
          </w:tcPr>
          <w:p w14:paraId="699382EB"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7.19</w:t>
            </w:r>
          </w:p>
        </w:tc>
        <w:tc>
          <w:tcPr>
            <w:tcW w:w="696" w:type="dxa"/>
            <w:vAlign w:val="center"/>
            <w:hideMark/>
          </w:tcPr>
          <w:p w14:paraId="5B1266C9"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3.44</w:t>
            </w:r>
          </w:p>
        </w:tc>
        <w:tc>
          <w:tcPr>
            <w:tcW w:w="697" w:type="dxa"/>
            <w:vAlign w:val="center"/>
            <w:hideMark/>
          </w:tcPr>
          <w:p w14:paraId="6BFE0FB3"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Fail</w:t>
            </w:r>
          </w:p>
        </w:tc>
        <w:tc>
          <w:tcPr>
            <w:tcW w:w="667" w:type="dxa"/>
            <w:shd w:val="clear" w:color="auto" w:fill="D9D9D9" w:themeFill="background1" w:themeFillShade="D9"/>
            <w:vAlign w:val="center"/>
            <w:hideMark/>
          </w:tcPr>
          <w:p w14:paraId="0CAD2856"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n24</w:t>
            </w:r>
          </w:p>
        </w:tc>
        <w:tc>
          <w:tcPr>
            <w:tcW w:w="725" w:type="dxa"/>
            <w:vAlign w:val="center"/>
            <w:hideMark/>
          </w:tcPr>
          <w:p w14:paraId="69F12AB4"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10.48</w:t>
            </w:r>
          </w:p>
        </w:tc>
        <w:tc>
          <w:tcPr>
            <w:tcW w:w="697" w:type="dxa"/>
            <w:vAlign w:val="center"/>
            <w:hideMark/>
          </w:tcPr>
          <w:p w14:paraId="640035D2"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8.10</w:t>
            </w:r>
          </w:p>
        </w:tc>
        <w:tc>
          <w:tcPr>
            <w:tcW w:w="696" w:type="dxa"/>
            <w:vAlign w:val="center"/>
            <w:hideMark/>
          </w:tcPr>
          <w:p w14:paraId="771DB1D8"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2.38</w:t>
            </w:r>
          </w:p>
        </w:tc>
        <w:tc>
          <w:tcPr>
            <w:tcW w:w="697" w:type="dxa"/>
            <w:vAlign w:val="center"/>
            <w:hideMark/>
          </w:tcPr>
          <w:p w14:paraId="493CB5A3" w14:textId="77777777" w:rsidR="0029416B" w:rsidRPr="00880DFD" w:rsidRDefault="0029416B" w:rsidP="005D38FE">
            <w:pPr>
              <w:spacing w:after="0" w:line="240" w:lineRule="auto"/>
              <w:jc w:val="center"/>
              <w:rPr>
                <w:rFonts w:ascii="Times New Roman"/>
                <w:sz w:val="16"/>
                <w:szCs w:val="16"/>
              </w:rPr>
            </w:pPr>
            <w:r w:rsidRPr="00880DFD">
              <w:rPr>
                <w:rFonts w:ascii="Times New Roman"/>
                <w:sz w:val="16"/>
                <w:szCs w:val="16"/>
              </w:rPr>
              <w:t>Fail</w:t>
            </w:r>
          </w:p>
        </w:tc>
      </w:tr>
    </w:tbl>
    <w:p w14:paraId="7271A7C1" w14:textId="55D0657F" w:rsidR="00941571" w:rsidRDefault="00941571" w:rsidP="006A31B5">
      <w:pPr>
        <w:spacing w:after="0" w:line="240" w:lineRule="auto"/>
        <w:jc w:val="center"/>
        <w:rPr>
          <w:rFonts w:ascii="Times New Roman"/>
          <w:sz w:val="20"/>
          <w:szCs w:val="20"/>
        </w:rPr>
      </w:pPr>
      <w:r w:rsidRPr="00A516D0">
        <w:rPr>
          <w:rFonts w:ascii="Times New Roman"/>
          <w:b/>
          <w:sz w:val="20"/>
          <w:szCs w:val="20"/>
        </w:rPr>
        <w:lastRenderedPageBreak/>
        <w:t>Table no</w:t>
      </w:r>
      <w:r>
        <w:rPr>
          <w:rFonts w:ascii="Times New Roman"/>
          <w:b/>
          <w:sz w:val="20"/>
          <w:szCs w:val="20"/>
        </w:rPr>
        <w:t>3</w:t>
      </w:r>
      <w:r w:rsidRPr="00A516D0">
        <w:rPr>
          <w:rFonts w:ascii="Times New Roman"/>
          <w:b/>
          <w:sz w:val="20"/>
          <w:szCs w:val="20"/>
        </w:rPr>
        <w:t xml:space="preserve">: </w:t>
      </w:r>
      <w:r w:rsidR="00F03247" w:rsidRPr="00891E3E">
        <w:rPr>
          <w:rFonts w:ascii="Times New Roman"/>
          <w:sz w:val="20"/>
          <w:szCs w:val="20"/>
        </w:rPr>
        <w:t>Summary Statistics</w:t>
      </w:r>
      <w:r w:rsidR="00F03247" w:rsidRPr="008D4884">
        <w:rPr>
          <w:rFonts w:ascii="Times New Roman"/>
          <w:sz w:val="20"/>
          <w:szCs w:val="20"/>
        </w:rPr>
        <w:t xml:space="preserve"> Results</w:t>
      </w:r>
      <w:r w:rsidR="00F03247" w:rsidRPr="00A516D0">
        <w:rPr>
          <w:rFonts w:ascii="Times New Roman"/>
          <w:sz w:val="20"/>
          <w:szCs w:val="20"/>
        </w:rPr>
        <w:t>.</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89"/>
        <w:gridCol w:w="1346"/>
        <w:gridCol w:w="1347"/>
        <w:gridCol w:w="4537"/>
      </w:tblGrid>
      <w:tr w:rsidR="0029416B" w:rsidRPr="00B743C0" w14:paraId="75FF1952" w14:textId="77777777" w:rsidTr="00A16FC1">
        <w:trPr>
          <w:trHeight w:val="183"/>
          <w:tblHeader/>
          <w:jc w:val="center"/>
        </w:trPr>
        <w:tc>
          <w:tcPr>
            <w:tcW w:w="2689" w:type="dxa"/>
            <w:shd w:val="clear" w:color="auto" w:fill="BFBFBF" w:themeFill="background1" w:themeFillShade="BF"/>
            <w:vAlign w:val="center"/>
            <w:hideMark/>
          </w:tcPr>
          <w:p w14:paraId="6A5F0C9C" w14:textId="77777777" w:rsidR="0029416B" w:rsidRPr="00B743C0" w:rsidRDefault="0029416B" w:rsidP="005D38FE">
            <w:pPr>
              <w:spacing w:after="0" w:line="240" w:lineRule="auto"/>
              <w:jc w:val="center"/>
              <w:rPr>
                <w:rFonts w:ascii="Times New Roman"/>
                <w:b/>
                <w:bCs/>
                <w:sz w:val="16"/>
                <w:szCs w:val="16"/>
              </w:rPr>
            </w:pPr>
            <w:r w:rsidRPr="008D4884">
              <w:rPr>
                <w:rFonts w:ascii="Times New Roman"/>
                <w:b/>
                <w:bCs/>
                <w:noProof/>
                <w:sz w:val="16"/>
                <w:szCs w:val="16"/>
              </w:rPr>
              <w:t>Parameter</w:t>
            </w:r>
          </w:p>
        </w:tc>
        <w:tc>
          <w:tcPr>
            <w:tcW w:w="1346" w:type="dxa"/>
            <w:shd w:val="clear" w:color="auto" w:fill="BFBFBF" w:themeFill="background1" w:themeFillShade="BF"/>
            <w:vAlign w:val="center"/>
            <w:hideMark/>
          </w:tcPr>
          <w:p w14:paraId="5B739E4D" w14:textId="77777777" w:rsidR="0029416B" w:rsidRPr="00B743C0" w:rsidRDefault="0029416B" w:rsidP="005D38FE">
            <w:pPr>
              <w:spacing w:after="0" w:line="240" w:lineRule="auto"/>
              <w:jc w:val="center"/>
              <w:rPr>
                <w:rFonts w:ascii="Times New Roman"/>
                <w:b/>
                <w:bCs/>
                <w:sz w:val="16"/>
                <w:szCs w:val="16"/>
              </w:rPr>
            </w:pPr>
            <w:r w:rsidRPr="008D4884">
              <w:rPr>
                <w:rFonts w:ascii="Times New Roman"/>
                <w:b/>
                <w:bCs/>
                <w:noProof/>
                <w:sz w:val="16"/>
                <w:szCs w:val="16"/>
              </w:rPr>
              <w:t>HMA</w:t>
            </w:r>
          </w:p>
        </w:tc>
        <w:tc>
          <w:tcPr>
            <w:tcW w:w="1347" w:type="dxa"/>
            <w:shd w:val="clear" w:color="auto" w:fill="BFBFBF" w:themeFill="background1" w:themeFillShade="BF"/>
            <w:vAlign w:val="center"/>
            <w:hideMark/>
          </w:tcPr>
          <w:p w14:paraId="7D8CE3CF" w14:textId="77777777" w:rsidR="0029416B" w:rsidRPr="00B743C0" w:rsidRDefault="0029416B" w:rsidP="005D38FE">
            <w:pPr>
              <w:spacing w:after="0" w:line="240" w:lineRule="auto"/>
              <w:jc w:val="center"/>
              <w:rPr>
                <w:rFonts w:ascii="Times New Roman"/>
                <w:b/>
                <w:bCs/>
                <w:sz w:val="16"/>
                <w:szCs w:val="16"/>
              </w:rPr>
            </w:pPr>
            <w:r w:rsidRPr="008D4884">
              <w:rPr>
                <w:rFonts w:ascii="Times New Roman"/>
                <w:b/>
                <w:bCs/>
                <w:noProof/>
                <w:sz w:val="16"/>
                <w:szCs w:val="16"/>
              </w:rPr>
              <w:t>DO</w:t>
            </w:r>
          </w:p>
        </w:tc>
        <w:tc>
          <w:tcPr>
            <w:tcW w:w="4537" w:type="dxa"/>
            <w:shd w:val="clear" w:color="auto" w:fill="BFBFBF" w:themeFill="background1" w:themeFillShade="BF"/>
            <w:vAlign w:val="center"/>
            <w:hideMark/>
          </w:tcPr>
          <w:p w14:paraId="210C755C" w14:textId="1CE33A0B" w:rsidR="0029416B" w:rsidRPr="00B743C0" w:rsidRDefault="0029416B" w:rsidP="005D38FE">
            <w:pPr>
              <w:spacing w:after="0" w:line="240" w:lineRule="auto"/>
              <w:jc w:val="center"/>
              <w:rPr>
                <w:rFonts w:ascii="Times New Roman"/>
                <w:b/>
                <w:bCs/>
                <w:sz w:val="16"/>
                <w:szCs w:val="16"/>
              </w:rPr>
            </w:pPr>
            <w:r w:rsidRPr="008D4884">
              <w:rPr>
                <w:rFonts w:ascii="Times New Roman"/>
                <w:b/>
                <w:bCs/>
                <w:noProof/>
                <w:sz w:val="16"/>
                <w:szCs w:val="16"/>
              </w:rPr>
              <w:t>Comparison</w:t>
            </w:r>
            <w:r w:rsidR="007854A0">
              <w:rPr>
                <w:rFonts w:ascii="Times New Roman"/>
                <w:b/>
                <w:bCs/>
                <w:noProof/>
                <w:sz w:val="16"/>
                <w:szCs w:val="16"/>
              </w:rPr>
              <w:t xml:space="preserve">, </w:t>
            </w:r>
            <w:r w:rsidRPr="008D4884">
              <w:rPr>
                <w:rFonts w:ascii="Times New Roman"/>
                <w:b/>
                <w:bCs/>
                <w:noProof/>
                <w:sz w:val="16"/>
                <w:szCs w:val="16"/>
              </w:rPr>
              <w:t>Interpretation</w:t>
            </w:r>
            <w:r w:rsidR="007854A0">
              <w:rPr>
                <w:rFonts w:ascii="Times New Roman"/>
                <w:b/>
                <w:bCs/>
                <w:noProof/>
                <w:sz w:val="16"/>
                <w:szCs w:val="16"/>
              </w:rPr>
              <w:t xml:space="preserve"> &amp; Significance</w:t>
            </w:r>
          </w:p>
        </w:tc>
      </w:tr>
      <w:tr w:rsidR="0029416B" w:rsidRPr="00B743C0" w14:paraId="576992B1" w14:textId="77777777" w:rsidTr="00A16FC1">
        <w:trPr>
          <w:trHeight w:val="183"/>
          <w:jc w:val="center"/>
        </w:trPr>
        <w:tc>
          <w:tcPr>
            <w:tcW w:w="2689" w:type="dxa"/>
            <w:vAlign w:val="center"/>
            <w:hideMark/>
          </w:tcPr>
          <w:p w14:paraId="567B42E4" w14:textId="77777777" w:rsidR="0029416B" w:rsidRPr="00B743C0" w:rsidRDefault="0029416B" w:rsidP="005D38FE">
            <w:pPr>
              <w:spacing w:after="0" w:line="240" w:lineRule="auto"/>
              <w:jc w:val="center"/>
              <w:rPr>
                <w:rFonts w:ascii="Times New Roman"/>
                <w:sz w:val="16"/>
                <w:szCs w:val="16"/>
              </w:rPr>
            </w:pPr>
            <w:r w:rsidRPr="00B743C0">
              <w:rPr>
                <w:rFonts w:ascii="Times New Roman"/>
                <w:b/>
                <w:bCs/>
                <w:sz w:val="16"/>
                <w:szCs w:val="16"/>
              </w:rPr>
              <w:t>Moisture Content (%MC) Mean</w:t>
            </w:r>
          </w:p>
        </w:tc>
        <w:tc>
          <w:tcPr>
            <w:tcW w:w="1346" w:type="dxa"/>
            <w:vAlign w:val="center"/>
            <w:hideMark/>
          </w:tcPr>
          <w:p w14:paraId="51C21871" w14:textId="09DBFD81" w:rsidR="0029416B" w:rsidRPr="00B743C0" w:rsidRDefault="000276A8" w:rsidP="005D38FE">
            <w:pPr>
              <w:spacing w:after="0" w:line="240" w:lineRule="auto"/>
              <w:jc w:val="center"/>
              <w:rPr>
                <w:rFonts w:ascii="Times New Roman"/>
                <w:sz w:val="16"/>
                <w:szCs w:val="16"/>
              </w:rPr>
            </w:pPr>
            <w:r w:rsidRPr="000276A8">
              <w:rPr>
                <w:rFonts w:ascii="Times New Roman"/>
                <w:sz w:val="16"/>
                <w:szCs w:val="16"/>
              </w:rPr>
              <w:t>10.3</w:t>
            </w:r>
            <w:r w:rsidR="00094C3C">
              <w:rPr>
                <w:rFonts w:ascii="Times New Roman"/>
                <w:sz w:val="16"/>
                <w:szCs w:val="16"/>
              </w:rPr>
              <w:t>3</w:t>
            </w:r>
            <w:r w:rsidR="0029416B" w:rsidRPr="00B743C0">
              <w:rPr>
                <w:rFonts w:ascii="Times New Roman"/>
                <w:sz w:val="16"/>
                <w:szCs w:val="16"/>
              </w:rPr>
              <w:t>%</w:t>
            </w:r>
          </w:p>
        </w:tc>
        <w:tc>
          <w:tcPr>
            <w:tcW w:w="1347" w:type="dxa"/>
            <w:vAlign w:val="center"/>
            <w:hideMark/>
          </w:tcPr>
          <w:p w14:paraId="1E308B4F" w14:textId="477DCF95" w:rsidR="0029416B" w:rsidRPr="00B743C0" w:rsidRDefault="000276A8" w:rsidP="005D38FE">
            <w:pPr>
              <w:spacing w:after="0" w:line="240" w:lineRule="auto"/>
              <w:jc w:val="center"/>
              <w:rPr>
                <w:rFonts w:ascii="Times New Roman"/>
                <w:sz w:val="16"/>
                <w:szCs w:val="16"/>
              </w:rPr>
            </w:pPr>
            <w:r w:rsidRPr="000276A8">
              <w:rPr>
                <w:rFonts w:ascii="Times New Roman"/>
                <w:sz w:val="16"/>
                <w:szCs w:val="16"/>
              </w:rPr>
              <w:t>6.87</w:t>
            </w:r>
            <w:r w:rsidR="0029416B" w:rsidRPr="00B743C0">
              <w:rPr>
                <w:rFonts w:ascii="Times New Roman"/>
                <w:sz w:val="16"/>
                <w:szCs w:val="16"/>
              </w:rPr>
              <w:t>%</w:t>
            </w:r>
          </w:p>
        </w:tc>
        <w:tc>
          <w:tcPr>
            <w:tcW w:w="4537" w:type="dxa"/>
            <w:vAlign w:val="center"/>
            <w:hideMark/>
          </w:tcPr>
          <w:p w14:paraId="475D0A86" w14:textId="77777777" w:rsidR="0029416B" w:rsidRPr="00B743C0" w:rsidRDefault="0029416B" w:rsidP="005D38FE">
            <w:pPr>
              <w:spacing w:after="0" w:line="240" w:lineRule="auto"/>
              <w:jc w:val="center"/>
              <w:rPr>
                <w:rFonts w:ascii="Times New Roman"/>
                <w:sz w:val="16"/>
                <w:szCs w:val="16"/>
              </w:rPr>
            </w:pPr>
            <w:r w:rsidRPr="00B743C0">
              <w:rPr>
                <w:rFonts w:ascii="Times New Roman"/>
                <w:sz w:val="16"/>
                <w:szCs w:val="16"/>
              </w:rPr>
              <w:t>HMA consistently reports higher %MC due to additional volatile loss.</w:t>
            </w:r>
          </w:p>
        </w:tc>
      </w:tr>
      <w:tr w:rsidR="0029416B" w:rsidRPr="00B743C0" w14:paraId="0334006D" w14:textId="77777777" w:rsidTr="00A16FC1">
        <w:trPr>
          <w:trHeight w:val="183"/>
          <w:jc w:val="center"/>
        </w:trPr>
        <w:tc>
          <w:tcPr>
            <w:tcW w:w="2689" w:type="dxa"/>
            <w:vAlign w:val="center"/>
            <w:hideMark/>
          </w:tcPr>
          <w:p w14:paraId="082D6C3E" w14:textId="77777777" w:rsidR="0029416B" w:rsidRPr="00B743C0" w:rsidRDefault="0029416B" w:rsidP="005D38FE">
            <w:pPr>
              <w:spacing w:after="0" w:line="240" w:lineRule="auto"/>
              <w:jc w:val="center"/>
              <w:rPr>
                <w:rFonts w:ascii="Times New Roman"/>
                <w:sz w:val="16"/>
                <w:szCs w:val="16"/>
              </w:rPr>
            </w:pPr>
            <w:r w:rsidRPr="00B743C0">
              <w:rPr>
                <w:rFonts w:ascii="Times New Roman"/>
                <w:b/>
                <w:bCs/>
                <w:sz w:val="16"/>
                <w:szCs w:val="16"/>
              </w:rPr>
              <w:t>Standard Deviation (SD)</w:t>
            </w:r>
          </w:p>
        </w:tc>
        <w:tc>
          <w:tcPr>
            <w:tcW w:w="1346" w:type="dxa"/>
            <w:vAlign w:val="center"/>
            <w:hideMark/>
          </w:tcPr>
          <w:p w14:paraId="519E3521" w14:textId="409174E6" w:rsidR="0029416B" w:rsidRPr="00B743C0" w:rsidRDefault="000276A8" w:rsidP="005D38FE">
            <w:pPr>
              <w:spacing w:after="0" w:line="240" w:lineRule="auto"/>
              <w:jc w:val="center"/>
              <w:rPr>
                <w:rFonts w:ascii="Times New Roman"/>
                <w:sz w:val="16"/>
                <w:szCs w:val="16"/>
              </w:rPr>
            </w:pPr>
            <w:r w:rsidRPr="000276A8">
              <w:rPr>
                <w:rFonts w:ascii="Times New Roman"/>
                <w:sz w:val="16"/>
                <w:szCs w:val="16"/>
              </w:rPr>
              <w:t>0.61</w:t>
            </w:r>
          </w:p>
        </w:tc>
        <w:tc>
          <w:tcPr>
            <w:tcW w:w="1347" w:type="dxa"/>
            <w:vAlign w:val="center"/>
            <w:hideMark/>
          </w:tcPr>
          <w:p w14:paraId="3D690C14" w14:textId="26793662" w:rsidR="0029416B" w:rsidRPr="00B743C0" w:rsidRDefault="000276A8" w:rsidP="005D38FE">
            <w:pPr>
              <w:spacing w:after="0" w:line="240" w:lineRule="auto"/>
              <w:jc w:val="center"/>
              <w:rPr>
                <w:rFonts w:ascii="Times New Roman"/>
                <w:sz w:val="16"/>
                <w:szCs w:val="16"/>
              </w:rPr>
            </w:pPr>
            <w:r w:rsidRPr="000276A8">
              <w:rPr>
                <w:rFonts w:ascii="Times New Roman"/>
                <w:sz w:val="16"/>
                <w:szCs w:val="16"/>
              </w:rPr>
              <w:t>0.5</w:t>
            </w:r>
            <w:r w:rsidR="00094C3C">
              <w:rPr>
                <w:rFonts w:ascii="Times New Roman"/>
                <w:sz w:val="16"/>
                <w:szCs w:val="16"/>
              </w:rPr>
              <w:t>7</w:t>
            </w:r>
          </w:p>
        </w:tc>
        <w:tc>
          <w:tcPr>
            <w:tcW w:w="4537" w:type="dxa"/>
            <w:vAlign w:val="center"/>
            <w:hideMark/>
          </w:tcPr>
          <w:p w14:paraId="020133FC" w14:textId="77777777" w:rsidR="0029416B" w:rsidRPr="00B743C0" w:rsidRDefault="0029416B" w:rsidP="005D38FE">
            <w:pPr>
              <w:spacing w:after="0" w:line="240" w:lineRule="auto"/>
              <w:jc w:val="center"/>
              <w:rPr>
                <w:rFonts w:ascii="Times New Roman"/>
                <w:sz w:val="16"/>
                <w:szCs w:val="16"/>
              </w:rPr>
            </w:pPr>
            <w:r w:rsidRPr="00B743C0">
              <w:rPr>
                <w:rFonts w:ascii="Times New Roman"/>
                <w:sz w:val="16"/>
                <w:szCs w:val="16"/>
              </w:rPr>
              <w:t>Both methods demonstrate similar internal precision.</w:t>
            </w:r>
          </w:p>
        </w:tc>
      </w:tr>
      <w:tr w:rsidR="0029416B" w:rsidRPr="00B743C0" w14:paraId="1215EEBB" w14:textId="77777777" w:rsidTr="00A16FC1">
        <w:trPr>
          <w:trHeight w:val="183"/>
          <w:jc w:val="center"/>
        </w:trPr>
        <w:tc>
          <w:tcPr>
            <w:tcW w:w="2689" w:type="dxa"/>
            <w:vAlign w:val="center"/>
            <w:hideMark/>
          </w:tcPr>
          <w:p w14:paraId="7D00F9B6" w14:textId="77777777" w:rsidR="0029416B" w:rsidRPr="00B743C0" w:rsidRDefault="0029416B" w:rsidP="005D38FE">
            <w:pPr>
              <w:spacing w:after="0" w:line="240" w:lineRule="auto"/>
              <w:jc w:val="center"/>
              <w:rPr>
                <w:rFonts w:ascii="Times New Roman"/>
                <w:sz w:val="16"/>
                <w:szCs w:val="16"/>
              </w:rPr>
            </w:pPr>
            <w:r w:rsidRPr="00B743C0">
              <w:rPr>
                <w:rFonts w:ascii="Times New Roman"/>
                <w:b/>
                <w:bCs/>
                <w:sz w:val="16"/>
                <w:szCs w:val="16"/>
              </w:rPr>
              <w:t>Relative Standard Deviation (RSD)</w:t>
            </w:r>
          </w:p>
        </w:tc>
        <w:tc>
          <w:tcPr>
            <w:tcW w:w="1346" w:type="dxa"/>
            <w:vAlign w:val="center"/>
            <w:hideMark/>
          </w:tcPr>
          <w:p w14:paraId="2978C116" w14:textId="13280953" w:rsidR="0029416B" w:rsidRPr="00B743C0" w:rsidRDefault="000276A8" w:rsidP="005D38FE">
            <w:pPr>
              <w:spacing w:after="0" w:line="240" w:lineRule="auto"/>
              <w:jc w:val="center"/>
              <w:rPr>
                <w:rFonts w:ascii="Times New Roman"/>
                <w:sz w:val="16"/>
                <w:szCs w:val="16"/>
              </w:rPr>
            </w:pPr>
            <w:r w:rsidRPr="000276A8">
              <w:rPr>
                <w:rFonts w:ascii="Times New Roman"/>
                <w:sz w:val="16"/>
                <w:szCs w:val="16"/>
              </w:rPr>
              <w:t>5.94</w:t>
            </w:r>
            <w:r w:rsidR="0029416B" w:rsidRPr="00B743C0">
              <w:rPr>
                <w:rFonts w:ascii="Times New Roman"/>
                <w:sz w:val="16"/>
                <w:szCs w:val="16"/>
              </w:rPr>
              <w:t>%</w:t>
            </w:r>
          </w:p>
        </w:tc>
        <w:tc>
          <w:tcPr>
            <w:tcW w:w="1347" w:type="dxa"/>
            <w:vAlign w:val="center"/>
            <w:hideMark/>
          </w:tcPr>
          <w:p w14:paraId="189432A6" w14:textId="01FA5FB7" w:rsidR="0029416B" w:rsidRPr="00B743C0" w:rsidRDefault="000276A8" w:rsidP="005D38FE">
            <w:pPr>
              <w:spacing w:after="0" w:line="240" w:lineRule="auto"/>
              <w:jc w:val="center"/>
              <w:rPr>
                <w:rFonts w:ascii="Times New Roman"/>
                <w:sz w:val="16"/>
                <w:szCs w:val="16"/>
              </w:rPr>
            </w:pPr>
            <w:r w:rsidRPr="000276A8">
              <w:rPr>
                <w:rFonts w:ascii="Times New Roman"/>
                <w:sz w:val="16"/>
                <w:szCs w:val="16"/>
              </w:rPr>
              <w:t>8.25</w:t>
            </w:r>
            <w:r w:rsidR="0029416B" w:rsidRPr="00B743C0">
              <w:rPr>
                <w:rFonts w:ascii="Times New Roman"/>
                <w:sz w:val="16"/>
                <w:szCs w:val="16"/>
              </w:rPr>
              <w:t>%</w:t>
            </w:r>
          </w:p>
        </w:tc>
        <w:tc>
          <w:tcPr>
            <w:tcW w:w="4537" w:type="dxa"/>
            <w:vAlign w:val="center"/>
            <w:hideMark/>
          </w:tcPr>
          <w:p w14:paraId="0867D2FD" w14:textId="77777777" w:rsidR="0029416B" w:rsidRPr="00B743C0" w:rsidRDefault="0029416B" w:rsidP="005D38FE">
            <w:pPr>
              <w:spacing w:after="0" w:line="240" w:lineRule="auto"/>
              <w:jc w:val="center"/>
              <w:rPr>
                <w:rFonts w:ascii="Times New Roman"/>
                <w:sz w:val="16"/>
                <w:szCs w:val="16"/>
              </w:rPr>
            </w:pPr>
            <w:r w:rsidRPr="00B743C0">
              <w:rPr>
                <w:rFonts w:ascii="Times New Roman"/>
                <w:sz w:val="16"/>
                <w:szCs w:val="16"/>
              </w:rPr>
              <w:t>HMA provides slightly better repeatability compared to DO.</w:t>
            </w:r>
          </w:p>
        </w:tc>
      </w:tr>
      <w:tr w:rsidR="0029416B" w:rsidRPr="00B743C0" w14:paraId="65ED3A03" w14:textId="77777777" w:rsidTr="00A16FC1">
        <w:trPr>
          <w:trHeight w:val="354"/>
          <w:jc w:val="center"/>
        </w:trPr>
        <w:tc>
          <w:tcPr>
            <w:tcW w:w="2689" w:type="dxa"/>
            <w:vAlign w:val="center"/>
            <w:hideMark/>
          </w:tcPr>
          <w:p w14:paraId="6E7445F6" w14:textId="004DC71A" w:rsidR="0029416B" w:rsidRDefault="0029416B" w:rsidP="005D38FE">
            <w:pPr>
              <w:spacing w:after="0" w:line="240" w:lineRule="auto"/>
              <w:jc w:val="center"/>
              <w:rPr>
                <w:rFonts w:ascii="Times New Roman"/>
                <w:b/>
                <w:bCs/>
                <w:sz w:val="16"/>
                <w:szCs w:val="16"/>
              </w:rPr>
            </w:pPr>
            <w:r w:rsidRPr="00B743C0">
              <w:rPr>
                <w:rFonts w:ascii="Times New Roman"/>
                <w:b/>
                <w:bCs/>
                <w:sz w:val="16"/>
                <w:szCs w:val="16"/>
              </w:rPr>
              <w:t>95% Confidence Interval</w:t>
            </w:r>
            <w:r>
              <w:rPr>
                <w:rFonts w:ascii="Times New Roman"/>
                <w:b/>
                <w:bCs/>
                <w:sz w:val="16"/>
                <w:szCs w:val="16"/>
              </w:rPr>
              <w:t>s</w:t>
            </w:r>
          </w:p>
          <w:p w14:paraId="7DACD9E3" w14:textId="77777777" w:rsidR="0029416B" w:rsidRPr="00B743C0" w:rsidRDefault="0029416B" w:rsidP="005D38FE">
            <w:pPr>
              <w:spacing w:after="0" w:line="240" w:lineRule="auto"/>
              <w:jc w:val="center"/>
              <w:rPr>
                <w:rFonts w:ascii="Times New Roman"/>
                <w:sz w:val="16"/>
                <w:szCs w:val="16"/>
              </w:rPr>
            </w:pPr>
            <w:r w:rsidRPr="00941571">
              <w:rPr>
                <w:rFonts w:ascii="Times New Roman"/>
                <w:b/>
                <w:bCs/>
                <w:sz w:val="16"/>
                <w:szCs w:val="16"/>
              </w:rPr>
              <w:t>(t-distribution)</w:t>
            </w:r>
          </w:p>
        </w:tc>
        <w:tc>
          <w:tcPr>
            <w:tcW w:w="1346" w:type="dxa"/>
            <w:vAlign w:val="center"/>
            <w:hideMark/>
          </w:tcPr>
          <w:p w14:paraId="6B2FCC7A" w14:textId="1AA15A84" w:rsidR="0029416B" w:rsidRPr="00B743C0" w:rsidRDefault="0029416B" w:rsidP="005D38FE">
            <w:pPr>
              <w:spacing w:after="0" w:line="240" w:lineRule="auto"/>
              <w:jc w:val="center"/>
              <w:rPr>
                <w:rFonts w:ascii="Times New Roman"/>
                <w:sz w:val="16"/>
                <w:szCs w:val="16"/>
              </w:rPr>
            </w:pPr>
            <w:r w:rsidRPr="00B743C0">
              <w:rPr>
                <w:rFonts w:ascii="Times New Roman"/>
                <w:sz w:val="16"/>
                <w:szCs w:val="16"/>
              </w:rPr>
              <w:t>10.0</w:t>
            </w:r>
            <w:r w:rsidR="00094C3C">
              <w:rPr>
                <w:rFonts w:ascii="Times New Roman"/>
                <w:sz w:val="16"/>
                <w:szCs w:val="16"/>
              </w:rPr>
              <w:t>7</w:t>
            </w:r>
            <w:r w:rsidRPr="00B743C0">
              <w:rPr>
                <w:rFonts w:ascii="Times New Roman"/>
                <w:sz w:val="16"/>
                <w:szCs w:val="16"/>
              </w:rPr>
              <w:t xml:space="preserve"> – 10.5</w:t>
            </w:r>
            <w:r w:rsidR="00094C3C">
              <w:rPr>
                <w:rFonts w:ascii="Times New Roman"/>
                <w:sz w:val="16"/>
                <w:szCs w:val="16"/>
              </w:rPr>
              <w:t>9</w:t>
            </w:r>
          </w:p>
        </w:tc>
        <w:tc>
          <w:tcPr>
            <w:tcW w:w="1347" w:type="dxa"/>
            <w:vAlign w:val="center"/>
            <w:hideMark/>
          </w:tcPr>
          <w:p w14:paraId="23C45DA2" w14:textId="35B4F759" w:rsidR="0029416B" w:rsidRPr="00B743C0" w:rsidRDefault="0029416B" w:rsidP="005D38FE">
            <w:pPr>
              <w:spacing w:after="0" w:line="240" w:lineRule="auto"/>
              <w:jc w:val="center"/>
              <w:rPr>
                <w:rFonts w:ascii="Times New Roman"/>
                <w:sz w:val="16"/>
                <w:szCs w:val="16"/>
              </w:rPr>
            </w:pPr>
            <w:r w:rsidRPr="00B743C0">
              <w:rPr>
                <w:rFonts w:ascii="Times New Roman"/>
                <w:sz w:val="16"/>
                <w:szCs w:val="16"/>
              </w:rPr>
              <w:t>6.63 – 7.11</w:t>
            </w:r>
          </w:p>
        </w:tc>
        <w:tc>
          <w:tcPr>
            <w:tcW w:w="4537" w:type="dxa"/>
            <w:vAlign w:val="center"/>
            <w:hideMark/>
          </w:tcPr>
          <w:p w14:paraId="3F48C653" w14:textId="77777777" w:rsidR="0029416B" w:rsidRPr="00B743C0" w:rsidRDefault="0029416B" w:rsidP="005D38FE">
            <w:pPr>
              <w:spacing w:after="0" w:line="240" w:lineRule="auto"/>
              <w:jc w:val="center"/>
              <w:rPr>
                <w:rFonts w:ascii="Times New Roman"/>
                <w:sz w:val="16"/>
                <w:szCs w:val="16"/>
              </w:rPr>
            </w:pPr>
            <w:r w:rsidRPr="00B743C0">
              <w:rPr>
                <w:rFonts w:ascii="Times New Roman"/>
                <w:sz w:val="16"/>
                <w:szCs w:val="16"/>
              </w:rPr>
              <w:t>Non-overlapping intervals confirm a statistically significant difference.</w:t>
            </w:r>
          </w:p>
        </w:tc>
      </w:tr>
      <w:tr w:rsidR="0029416B" w:rsidRPr="00B743C0" w14:paraId="1E8461A1" w14:textId="77777777" w:rsidTr="00A16FC1">
        <w:trPr>
          <w:trHeight w:val="126"/>
          <w:jc w:val="center"/>
        </w:trPr>
        <w:tc>
          <w:tcPr>
            <w:tcW w:w="2689" w:type="dxa"/>
            <w:vAlign w:val="center"/>
            <w:hideMark/>
          </w:tcPr>
          <w:p w14:paraId="58D77974" w14:textId="77777777" w:rsidR="0029416B" w:rsidRPr="00B743C0" w:rsidRDefault="0029416B" w:rsidP="005D38FE">
            <w:pPr>
              <w:spacing w:after="0" w:line="240" w:lineRule="auto"/>
              <w:jc w:val="center"/>
              <w:rPr>
                <w:rFonts w:ascii="Times New Roman"/>
                <w:sz w:val="16"/>
                <w:szCs w:val="16"/>
              </w:rPr>
            </w:pPr>
            <w:r w:rsidRPr="00B743C0">
              <w:rPr>
                <w:rFonts w:ascii="Times New Roman"/>
                <w:b/>
                <w:bCs/>
                <w:sz w:val="16"/>
                <w:szCs w:val="16"/>
              </w:rPr>
              <w:t>Absolute ∆%MC (HMA - DO)</w:t>
            </w:r>
          </w:p>
        </w:tc>
        <w:tc>
          <w:tcPr>
            <w:tcW w:w="1346" w:type="dxa"/>
            <w:vAlign w:val="center"/>
            <w:hideMark/>
          </w:tcPr>
          <w:p w14:paraId="5D5B345A" w14:textId="118645C2" w:rsidR="0029416B" w:rsidRPr="00B743C0" w:rsidRDefault="000276A8" w:rsidP="005D38FE">
            <w:pPr>
              <w:spacing w:after="0" w:line="240" w:lineRule="auto"/>
              <w:jc w:val="center"/>
              <w:rPr>
                <w:rFonts w:ascii="Times New Roman"/>
                <w:sz w:val="16"/>
                <w:szCs w:val="16"/>
              </w:rPr>
            </w:pPr>
            <w:r w:rsidRPr="000276A8">
              <w:rPr>
                <w:rFonts w:ascii="Times New Roman"/>
                <w:sz w:val="16"/>
                <w:szCs w:val="16"/>
              </w:rPr>
              <w:t>3.4</w:t>
            </w:r>
            <w:r w:rsidR="00B977BF">
              <w:rPr>
                <w:rFonts w:ascii="Times New Roman"/>
                <w:sz w:val="16"/>
                <w:szCs w:val="16"/>
              </w:rPr>
              <w:t>6</w:t>
            </w:r>
            <w:r w:rsidR="0029416B" w:rsidRPr="00B743C0">
              <w:rPr>
                <w:rFonts w:ascii="Times New Roman"/>
                <w:sz w:val="16"/>
                <w:szCs w:val="16"/>
              </w:rPr>
              <w:t>%</w:t>
            </w:r>
          </w:p>
        </w:tc>
        <w:tc>
          <w:tcPr>
            <w:tcW w:w="1347" w:type="dxa"/>
            <w:vAlign w:val="center"/>
            <w:hideMark/>
          </w:tcPr>
          <w:p w14:paraId="0EF4390A" w14:textId="77777777" w:rsidR="0029416B" w:rsidRPr="00B743C0" w:rsidRDefault="0029416B" w:rsidP="005D38FE">
            <w:pPr>
              <w:spacing w:after="0" w:line="240" w:lineRule="auto"/>
              <w:jc w:val="center"/>
              <w:rPr>
                <w:rFonts w:ascii="Times New Roman"/>
                <w:sz w:val="16"/>
                <w:szCs w:val="16"/>
              </w:rPr>
            </w:pPr>
            <w:r w:rsidRPr="00B743C0">
              <w:rPr>
                <w:rFonts w:ascii="Times New Roman"/>
                <w:sz w:val="16"/>
                <w:szCs w:val="16"/>
              </w:rPr>
              <w:t>Reference Standard</w:t>
            </w:r>
          </w:p>
        </w:tc>
        <w:tc>
          <w:tcPr>
            <w:tcW w:w="4537" w:type="dxa"/>
            <w:vAlign w:val="center"/>
            <w:hideMark/>
          </w:tcPr>
          <w:p w14:paraId="4A3CEE07" w14:textId="77777777" w:rsidR="0029416B" w:rsidRPr="00B743C0" w:rsidRDefault="0029416B" w:rsidP="005D38FE">
            <w:pPr>
              <w:spacing w:after="0" w:line="240" w:lineRule="auto"/>
              <w:jc w:val="center"/>
              <w:rPr>
                <w:rFonts w:ascii="Times New Roman"/>
                <w:sz w:val="16"/>
                <w:szCs w:val="16"/>
              </w:rPr>
            </w:pPr>
            <w:r w:rsidRPr="00B743C0">
              <w:rPr>
                <w:rFonts w:ascii="Times New Roman"/>
                <w:sz w:val="16"/>
                <w:szCs w:val="16"/>
              </w:rPr>
              <w:t>Indicates systematic differences in moisture determination.</w:t>
            </w:r>
          </w:p>
        </w:tc>
      </w:tr>
      <w:tr w:rsidR="007854A0" w:rsidRPr="00B743C0" w14:paraId="4A4FD62F" w14:textId="77777777" w:rsidTr="00A16FC1">
        <w:trPr>
          <w:trHeight w:val="183"/>
          <w:jc w:val="center"/>
        </w:trPr>
        <w:tc>
          <w:tcPr>
            <w:tcW w:w="2689" w:type="dxa"/>
            <w:vAlign w:val="center"/>
            <w:hideMark/>
          </w:tcPr>
          <w:p w14:paraId="57A22438" w14:textId="77777777" w:rsidR="007854A0" w:rsidRPr="00B743C0" w:rsidRDefault="007854A0" w:rsidP="005D38FE">
            <w:pPr>
              <w:spacing w:after="0" w:line="240" w:lineRule="auto"/>
              <w:jc w:val="center"/>
              <w:rPr>
                <w:rFonts w:ascii="Times New Roman"/>
                <w:sz w:val="16"/>
                <w:szCs w:val="16"/>
              </w:rPr>
            </w:pPr>
            <w:r w:rsidRPr="00B743C0">
              <w:rPr>
                <w:rFonts w:ascii="Times New Roman"/>
                <w:b/>
                <w:bCs/>
                <w:sz w:val="16"/>
                <w:szCs w:val="16"/>
              </w:rPr>
              <w:t>Pearson Correlation Coefficient (r)</w:t>
            </w:r>
          </w:p>
        </w:tc>
        <w:tc>
          <w:tcPr>
            <w:tcW w:w="2693" w:type="dxa"/>
            <w:gridSpan w:val="2"/>
            <w:vAlign w:val="center"/>
            <w:hideMark/>
          </w:tcPr>
          <w:p w14:paraId="7A9387B4" w14:textId="124CC23F" w:rsidR="007854A0" w:rsidRPr="00B743C0" w:rsidRDefault="007854A0" w:rsidP="005D38FE">
            <w:pPr>
              <w:spacing w:after="0" w:line="240" w:lineRule="auto"/>
              <w:jc w:val="center"/>
              <w:rPr>
                <w:rFonts w:ascii="Times New Roman"/>
                <w:sz w:val="16"/>
                <w:szCs w:val="16"/>
              </w:rPr>
            </w:pPr>
            <w:r w:rsidRPr="000276A8">
              <w:rPr>
                <w:rFonts w:ascii="Times New Roman"/>
                <w:sz w:val="16"/>
                <w:szCs w:val="16"/>
              </w:rPr>
              <w:t>0.59</w:t>
            </w:r>
          </w:p>
        </w:tc>
        <w:tc>
          <w:tcPr>
            <w:tcW w:w="4537" w:type="dxa"/>
            <w:vAlign w:val="center"/>
            <w:hideMark/>
          </w:tcPr>
          <w:p w14:paraId="08CA0C8B" w14:textId="43EED55D" w:rsidR="007854A0" w:rsidRPr="00B743C0" w:rsidRDefault="007854A0" w:rsidP="005D38FE">
            <w:pPr>
              <w:spacing w:after="0" w:line="240" w:lineRule="auto"/>
              <w:jc w:val="center"/>
              <w:rPr>
                <w:rFonts w:ascii="Times New Roman"/>
                <w:sz w:val="16"/>
                <w:szCs w:val="16"/>
              </w:rPr>
            </w:pPr>
            <w:r>
              <w:rPr>
                <w:rFonts w:ascii="Times New Roman"/>
                <w:sz w:val="16"/>
                <w:szCs w:val="16"/>
              </w:rPr>
              <w:t>Moderate</w:t>
            </w:r>
            <w:r w:rsidRPr="00B743C0">
              <w:rPr>
                <w:rFonts w:ascii="Times New Roman"/>
                <w:sz w:val="16"/>
                <w:szCs w:val="16"/>
              </w:rPr>
              <w:t xml:space="preserve"> correlation between methods, </w:t>
            </w:r>
            <w:r>
              <w:rPr>
                <w:rFonts w:ascii="Times New Roman"/>
                <w:sz w:val="16"/>
                <w:szCs w:val="16"/>
              </w:rPr>
              <w:t>S</w:t>
            </w:r>
            <w:r w:rsidRPr="00B743C0">
              <w:rPr>
                <w:rFonts w:ascii="Times New Roman"/>
                <w:sz w:val="16"/>
                <w:szCs w:val="16"/>
              </w:rPr>
              <w:t>ystematic offset observed.</w:t>
            </w:r>
          </w:p>
        </w:tc>
      </w:tr>
      <w:tr w:rsidR="0029416B" w:rsidRPr="00B743C0" w14:paraId="65C131A1" w14:textId="77777777" w:rsidTr="00A16FC1">
        <w:trPr>
          <w:trHeight w:val="171"/>
          <w:jc w:val="center"/>
        </w:trPr>
        <w:tc>
          <w:tcPr>
            <w:tcW w:w="2689" w:type="dxa"/>
            <w:vAlign w:val="center"/>
            <w:hideMark/>
          </w:tcPr>
          <w:p w14:paraId="73D8B0EC" w14:textId="42DBE066" w:rsidR="0029416B" w:rsidRPr="00B743C0" w:rsidRDefault="0029416B" w:rsidP="005D38FE">
            <w:pPr>
              <w:spacing w:after="0" w:line="240" w:lineRule="auto"/>
              <w:jc w:val="center"/>
              <w:rPr>
                <w:rFonts w:ascii="Times New Roman"/>
                <w:sz w:val="16"/>
                <w:szCs w:val="16"/>
              </w:rPr>
            </w:pPr>
            <w:r>
              <w:rPr>
                <w:rFonts w:ascii="Times New Roman"/>
                <w:b/>
                <w:bCs/>
                <w:sz w:val="16"/>
                <w:szCs w:val="16"/>
              </w:rPr>
              <w:t>Correlation (</w:t>
            </w:r>
            <w:r w:rsidRPr="00B743C0">
              <w:rPr>
                <w:rFonts w:ascii="Times New Roman"/>
                <w:b/>
                <w:bCs/>
                <w:sz w:val="16"/>
                <w:szCs w:val="16"/>
              </w:rPr>
              <w:t>Regression Equation</w:t>
            </w:r>
            <w:r>
              <w:rPr>
                <w:rFonts w:ascii="Times New Roman"/>
                <w:b/>
                <w:bCs/>
                <w:sz w:val="16"/>
                <w:szCs w:val="16"/>
              </w:rPr>
              <w:t>)</w:t>
            </w:r>
          </w:p>
        </w:tc>
        <w:tc>
          <w:tcPr>
            <w:tcW w:w="1346" w:type="dxa"/>
            <w:vAlign w:val="center"/>
            <w:hideMark/>
          </w:tcPr>
          <w:p w14:paraId="5B08447F" w14:textId="2D515326" w:rsidR="0029416B" w:rsidRPr="00B743C0" w:rsidRDefault="007854A0" w:rsidP="005D38FE">
            <w:pPr>
              <w:spacing w:after="0" w:line="240" w:lineRule="auto"/>
              <w:jc w:val="center"/>
              <w:rPr>
                <w:rFonts w:ascii="Times New Roman"/>
                <w:sz w:val="16"/>
                <w:szCs w:val="16"/>
              </w:rPr>
            </w:pPr>
            <m:oMath>
              <m:r>
                <w:rPr>
                  <w:rFonts w:ascii="Cambria Math" w:hAnsi="Cambria Math"/>
                  <w:sz w:val="16"/>
                  <w:szCs w:val="16"/>
                </w:rPr>
                <m:t>X</m:t>
              </m:r>
            </m:oMath>
            <w:r w:rsidR="0029416B">
              <w:rPr>
                <w:rFonts w:ascii="Times New Roman"/>
                <w:sz w:val="16"/>
                <w:szCs w:val="16"/>
              </w:rPr>
              <w:t xml:space="preserve"> = </w:t>
            </w:r>
            <w:r w:rsidR="0029416B" w:rsidRPr="00B743C0">
              <w:rPr>
                <w:rFonts w:ascii="Times New Roman"/>
                <w:b/>
                <w:bCs/>
                <w:sz w:val="16"/>
                <w:szCs w:val="16"/>
              </w:rPr>
              <w:t>%MC</w:t>
            </w:r>
            <w:r w:rsidR="0029416B" w:rsidRPr="00B743C0">
              <w:rPr>
                <w:rFonts w:ascii="Times New Roman"/>
                <w:b/>
                <w:bCs/>
                <w:sz w:val="16"/>
                <w:szCs w:val="16"/>
                <w:vertAlign w:val="subscript"/>
              </w:rPr>
              <w:t>HMA</w:t>
            </w:r>
          </w:p>
        </w:tc>
        <w:tc>
          <w:tcPr>
            <w:tcW w:w="1347" w:type="dxa"/>
            <w:vAlign w:val="center"/>
            <w:hideMark/>
          </w:tcPr>
          <w:p w14:paraId="064FE967" w14:textId="77777777" w:rsidR="007854A0" w:rsidRPr="007854A0" w:rsidRDefault="00000000" w:rsidP="005D38FE">
            <w:pPr>
              <w:spacing w:after="0" w:line="240" w:lineRule="auto"/>
              <w:jc w:val="center"/>
              <w:rPr>
                <w:rFonts w:ascii="Cambria Math" w:hAnsi="Cambria Math"/>
                <w:sz w:val="16"/>
                <w:szCs w:val="16"/>
                <w:oMath/>
              </w:rPr>
            </w:pPr>
            <m:oMathPara>
              <m:oMath>
                <m:acc>
                  <m:accPr>
                    <m:ctrlPr>
                      <w:rPr>
                        <w:rFonts w:ascii="Cambria Math" w:hAnsi="Cambria Math"/>
                        <w:sz w:val="16"/>
                        <w:szCs w:val="16"/>
                      </w:rPr>
                    </m:ctrlPr>
                  </m:accPr>
                  <m:e>
                    <m:r>
                      <w:rPr>
                        <w:rFonts w:ascii="Cambria Math" w:hAnsi="Cambria Math"/>
                        <w:sz w:val="16"/>
                        <w:szCs w:val="16"/>
                      </w:rPr>
                      <m:t>Y</m:t>
                    </m:r>
                  </m:e>
                </m:acc>
                <m:r>
                  <w:rPr>
                    <w:rFonts w:ascii="Cambria Math" w:hAnsi="Cambria Math"/>
                    <w:sz w:val="16"/>
                    <w:szCs w:val="16"/>
                  </w:rPr>
                  <m:t>=m</m:t>
                </m:r>
                <m:r>
                  <m:rPr>
                    <m:sty m:val="p"/>
                  </m:rPr>
                  <w:rPr>
                    <w:rFonts w:ascii="Cambria Math" w:hAnsi="Cambria Math"/>
                    <w:sz w:val="16"/>
                    <w:szCs w:val="16"/>
                  </w:rPr>
                  <m:t>⋅</m:t>
                </m:r>
                <m:r>
                  <w:rPr>
                    <w:rFonts w:ascii="Cambria Math" w:hAnsi="Cambria Math"/>
                    <w:sz w:val="16"/>
                    <w:szCs w:val="16"/>
                  </w:rPr>
                  <m:t>X+b</m:t>
                </m:r>
              </m:oMath>
            </m:oMathPara>
          </w:p>
          <w:p w14:paraId="6738923A" w14:textId="3CA6F306" w:rsidR="0029416B" w:rsidRPr="00B743C0" w:rsidRDefault="0029416B" w:rsidP="005D38FE">
            <w:pPr>
              <w:spacing w:after="0" w:line="240" w:lineRule="auto"/>
              <w:jc w:val="center"/>
              <w:rPr>
                <w:rFonts w:ascii="Times New Roman"/>
                <w:sz w:val="16"/>
                <w:szCs w:val="16"/>
              </w:rPr>
            </w:pPr>
          </w:p>
        </w:tc>
        <w:tc>
          <w:tcPr>
            <w:tcW w:w="4537" w:type="dxa"/>
            <w:vAlign w:val="center"/>
            <w:hideMark/>
          </w:tcPr>
          <w:p w14:paraId="004EAFF6" w14:textId="77777777" w:rsidR="0029416B" w:rsidRPr="00B743C0" w:rsidRDefault="0029416B" w:rsidP="005D38FE">
            <w:pPr>
              <w:spacing w:after="0" w:line="240" w:lineRule="auto"/>
              <w:jc w:val="center"/>
              <w:rPr>
                <w:rFonts w:ascii="Times New Roman"/>
                <w:sz w:val="16"/>
                <w:szCs w:val="16"/>
              </w:rPr>
            </w:pPr>
            <w:r w:rsidRPr="00B743C0">
              <w:rPr>
                <w:rFonts w:ascii="Times New Roman"/>
                <w:sz w:val="16"/>
                <w:szCs w:val="16"/>
              </w:rPr>
              <w:t>Can be used for conversion between methods.</w:t>
            </w:r>
          </w:p>
        </w:tc>
      </w:tr>
      <w:tr w:rsidR="007854A0" w:rsidRPr="00B743C0" w14:paraId="6323A7D2" w14:textId="77777777" w:rsidTr="00A16FC1">
        <w:trPr>
          <w:trHeight w:val="171"/>
          <w:jc w:val="center"/>
        </w:trPr>
        <w:tc>
          <w:tcPr>
            <w:tcW w:w="2689" w:type="dxa"/>
            <w:vAlign w:val="center"/>
          </w:tcPr>
          <w:p w14:paraId="5E74AE0B" w14:textId="0A055EB5" w:rsidR="007854A0" w:rsidRDefault="007854A0" w:rsidP="005D38FE">
            <w:pPr>
              <w:spacing w:after="0" w:line="240" w:lineRule="auto"/>
              <w:jc w:val="center"/>
              <w:rPr>
                <w:rFonts w:ascii="Times New Roman"/>
                <w:b/>
                <w:bCs/>
                <w:sz w:val="16"/>
                <w:szCs w:val="16"/>
              </w:rPr>
            </w:pPr>
            <m:oMath>
              <m:r>
                <w:rPr>
                  <w:rFonts w:ascii="Cambria Math" w:hAnsi="Cambria Math"/>
                  <w:sz w:val="16"/>
                  <w:szCs w:val="16"/>
                </w:rPr>
                <m:t>m</m:t>
              </m:r>
            </m:oMath>
            <w:r w:rsidRPr="007854A0">
              <w:rPr>
                <w:rFonts w:ascii="Times New Roman"/>
                <w:b/>
                <w:bCs/>
                <w:sz w:val="16"/>
                <w:szCs w:val="16"/>
              </w:rPr>
              <w:t xml:space="preserve"> </w:t>
            </w:r>
            <w:r>
              <w:rPr>
                <w:rFonts w:ascii="Times New Roman"/>
                <w:b/>
                <w:bCs/>
                <w:sz w:val="16"/>
                <w:szCs w:val="16"/>
              </w:rPr>
              <w:t xml:space="preserve">- </w:t>
            </w:r>
            <w:r w:rsidRPr="007854A0">
              <w:rPr>
                <w:rFonts w:ascii="Times New Roman"/>
                <w:b/>
                <w:bCs/>
                <w:sz w:val="16"/>
                <w:szCs w:val="16"/>
              </w:rPr>
              <w:t>Slope of the best-fit line.</w:t>
            </w:r>
          </w:p>
        </w:tc>
        <w:tc>
          <w:tcPr>
            <w:tcW w:w="2693" w:type="dxa"/>
            <w:gridSpan w:val="2"/>
            <w:vAlign w:val="center"/>
          </w:tcPr>
          <w:p w14:paraId="38F88669" w14:textId="0061A622" w:rsidR="007854A0" w:rsidRPr="007854A0" w:rsidRDefault="00ED2FD1" w:rsidP="005D38FE">
            <w:pPr>
              <w:spacing w:after="0" w:line="240" w:lineRule="auto"/>
              <w:jc w:val="center"/>
              <w:rPr>
                <w:rFonts w:ascii="Times New Roman"/>
                <w:sz w:val="16"/>
                <w:szCs w:val="16"/>
              </w:rPr>
            </w:pPr>
            <w:r w:rsidRPr="00ED2FD1">
              <w:rPr>
                <w:rFonts w:ascii="Times New Roman"/>
                <w:sz w:val="16"/>
                <w:szCs w:val="16"/>
              </w:rPr>
              <w:t>0.5</w:t>
            </w:r>
            <w:r w:rsidR="00B977BF">
              <w:rPr>
                <w:rFonts w:ascii="Times New Roman"/>
                <w:sz w:val="16"/>
                <w:szCs w:val="16"/>
              </w:rPr>
              <w:t>5</w:t>
            </w:r>
          </w:p>
        </w:tc>
        <w:tc>
          <w:tcPr>
            <w:tcW w:w="4537" w:type="dxa"/>
            <w:vAlign w:val="center"/>
          </w:tcPr>
          <w:p w14:paraId="31494688" w14:textId="685B200E" w:rsidR="007854A0" w:rsidRPr="00B743C0" w:rsidRDefault="0037044D" w:rsidP="005D38FE">
            <w:pPr>
              <w:spacing w:after="0" w:line="240" w:lineRule="auto"/>
              <w:jc w:val="center"/>
              <w:rPr>
                <w:rFonts w:ascii="Times New Roman"/>
                <w:sz w:val="16"/>
                <w:szCs w:val="16"/>
              </w:rPr>
            </w:pPr>
            <w:r w:rsidRPr="0037044D">
              <w:rPr>
                <w:rFonts w:ascii="Times New Roman"/>
                <w:sz w:val="16"/>
                <w:szCs w:val="16"/>
              </w:rPr>
              <w:t xml:space="preserve">Small changes in </w:t>
            </w:r>
            <w:r w:rsidRPr="00B743C0">
              <w:rPr>
                <w:rFonts w:ascii="Times New Roman"/>
                <w:b/>
                <w:bCs/>
                <w:sz w:val="16"/>
                <w:szCs w:val="16"/>
              </w:rPr>
              <w:t>%MC</w:t>
            </w:r>
            <w:r w:rsidRPr="00B743C0">
              <w:rPr>
                <w:rFonts w:ascii="Times New Roman"/>
                <w:b/>
                <w:bCs/>
                <w:sz w:val="16"/>
                <w:szCs w:val="16"/>
                <w:vertAlign w:val="subscript"/>
              </w:rPr>
              <w:t>HMA</w:t>
            </w:r>
            <w:r>
              <w:rPr>
                <w:rFonts w:ascii="Times New Roman"/>
                <w:b/>
                <w:bCs/>
                <w:sz w:val="16"/>
                <w:szCs w:val="16"/>
                <w:vertAlign w:val="subscript"/>
              </w:rPr>
              <w:t xml:space="preserve"> </w:t>
            </w:r>
            <w:r w:rsidRPr="0037044D">
              <w:rPr>
                <w:rFonts w:ascii="Times New Roman"/>
                <w:sz w:val="16"/>
                <w:szCs w:val="16"/>
              </w:rPr>
              <w:t xml:space="preserve">produce relatively large changes in </w:t>
            </w:r>
            <m:oMath>
              <m:acc>
                <m:accPr>
                  <m:ctrlPr>
                    <w:rPr>
                      <w:rFonts w:ascii="Cambria Math" w:hAnsi="Cambria Math"/>
                      <w:sz w:val="16"/>
                      <w:szCs w:val="16"/>
                    </w:rPr>
                  </m:ctrlPr>
                </m:accPr>
                <m:e>
                  <m:r>
                    <w:rPr>
                      <w:rFonts w:ascii="Cambria Math" w:hAnsi="Cambria Math"/>
                      <w:sz w:val="16"/>
                      <w:szCs w:val="16"/>
                    </w:rPr>
                    <m:t>Y</m:t>
                  </m:r>
                </m:e>
              </m:acc>
            </m:oMath>
          </w:p>
        </w:tc>
      </w:tr>
      <w:tr w:rsidR="007854A0" w:rsidRPr="00B743C0" w14:paraId="684BD4E2" w14:textId="77777777" w:rsidTr="00A16FC1">
        <w:trPr>
          <w:trHeight w:val="171"/>
          <w:jc w:val="center"/>
        </w:trPr>
        <w:tc>
          <w:tcPr>
            <w:tcW w:w="2689" w:type="dxa"/>
            <w:vAlign w:val="center"/>
          </w:tcPr>
          <w:p w14:paraId="748FBBB0" w14:textId="07E56B4A" w:rsidR="007854A0" w:rsidRDefault="007854A0" w:rsidP="005D38FE">
            <w:pPr>
              <w:spacing w:after="0" w:line="240" w:lineRule="auto"/>
              <w:jc w:val="center"/>
              <w:rPr>
                <w:rFonts w:ascii="Times New Roman"/>
                <w:b/>
                <w:bCs/>
                <w:sz w:val="16"/>
                <w:szCs w:val="16"/>
              </w:rPr>
            </w:pPr>
            <m:oMath>
              <m:r>
                <w:rPr>
                  <w:rFonts w:ascii="Cambria Math" w:hAnsi="Cambria Math"/>
                  <w:sz w:val="16"/>
                  <w:szCs w:val="16"/>
                </w:rPr>
                <m:t>b</m:t>
              </m:r>
            </m:oMath>
            <w:r w:rsidRPr="007854A0">
              <w:rPr>
                <w:rFonts w:ascii="Times New Roman"/>
                <w:b/>
                <w:bCs/>
                <w:sz w:val="16"/>
                <w:szCs w:val="16"/>
              </w:rPr>
              <w:t xml:space="preserve"> </w:t>
            </w:r>
            <w:r>
              <w:rPr>
                <w:rFonts w:ascii="Times New Roman"/>
                <w:b/>
                <w:bCs/>
                <w:sz w:val="16"/>
                <w:szCs w:val="16"/>
              </w:rPr>
              <w:t xml:space="preserve">- </w:t>
            </w:r>
            <w:r w:rsidRPr="007854A0">
              <w:rPr>
                <w:rFonts w:ascii="Times New Roman"/>
                <w:b/>
                <w:bCs/>
                <w:sz w:val="16"/>
                <w:szCs w:val="16"/>
              </w:rPr>
              <w:t>y-intercept</w:t>
            </w:r>
          </w:p>
        </w:tc>
        <w:tc>
          <w:tcPr>
            <w:tcW w:w="2693" w:type="dxa"/>
            <w:gridSpan w:val="2"/>
            <w:vAlign w:val="center"/>
          </w:tcPr>
          <w:p w14:paraId="49204E8A" w14:textId="6185B70D" w:rsidR="007854A0" w:rsidRPr="007854A0" w:rsidRDefault="00ED2FD1" w:rsidP="005D38FE">
            <w:pPr>
              <w:spacing w:after="0" w:line="240" w:lineRule="auto"/>
              <w:jc w:val="center"/>
              <w:rPr>
                <w:rFonts w:ascii="Times New Roman"/>
                <w:sz w:val="16"/>
                <w:szCs w:val="16"/>
              </w:rPr>
            </w:pPr>
            <w:r w:rsidRPr="00ED2FD1">
              <w:rPr>
                <w:rFonts w:ascii="Times New Roman"/>
                <w:sz w:val="16"/>
                <w:szCs w:val="16"/>
              </w:rPr>
              <w:t>1.21</w:t>
            </w:r>
          </w:p>
        </w:tc>
        <w:tc>
          <w:tcPr>
            <w:tcW w:w="4537" w:type="dxa"/>
            <w:vAlign w:val="center"/>
          </w:tcPr>
          <w:p w14:paraId="7771EADB" w14:textId="07997954" w:rsidR="007854A0" w:rsidRPr="00B743C0" w:rsidRDefault="00CF701D" w:rsidP="005D38FE">
            <w:pPr>
              <w:spacing w:after="0" w:line="240" w:lineRule="auto"/>
              <w:jc w:val="center"/>
              <w:rPr>
                <w:rFonts w:ascii="Times New Roman"/>
                <w:sz w:val="16"/>
                <w:szCs w:val="16"/>
              </w:rPr>
            </w:pPr>
            <w:r>
              <w:rPr>
                <w:rFonts w:ascii="Times New Roman"/>
                <w:sz w:val="16"/>
                <w:szCs w:val="16"/>
              </w:rPr>
              <w:t>S</w:t>
            </w:r>
            <w:r w:rsidRPr="00CF701D">
              <w:rPr>
                <w:rFonts w:ascii="Times New Roman"/>
                <w:sz w:val="16"/>
                <w:szCs w:val="16"/>
              </w:rPr>
              <w:t>erves as a baseline for the linear relationship</w:t>
            </w:r>
          </w:p>
        </w:tc>
      </w:tr>
    </w:tbl>
    <w:p w14:paraId="5673B303" w14:textId="77777777" w:rsidR="004A51B8" w:rsidRDefault="004A51B8" w:rsidP="009D6D00">
      <w:pPr>
        <w:spacing w:after="0" w:line="240" w:lineRule="auto"/>
        <w:jc w:val="both"/>
        <w:rPr>
          <w:rFonts w:ascii="Times New Roman"/>
          <w:b/>
          <w:sz w:val="20"/>
          <w:szCs w:val="20"/>
        </w:rPr>
      </w:pPr>
    </w:p>
    <w:p w14:paraId="0ABC6BE6" w14:textId="5D17004F" w:rsidR="00880DFD" w:rsidRDefault="005152CA" w:rsidP="006D784D">
      <w:pPr>
        <w:spacing w:after="0" w:line="240" w:lineRule="auto"/>
        <w:jc w:val="center"/>
        <w:rPr>
          <w:rFonts w:ascii="Times New Roman"/>
          <w:sz w:val="20"/>
          <w:szCs w:val="20"/>
        </w:rPr>
      </w:pPr>
      <w:r w:rsidRPr="00A516D0">
        <w:rPr>
          <w:rFonts w:ascii="Times New Roman"/>
          <w:b/>
          <w:sz w:val="20"/>
          <w:szCs w:val="20"/>
        </w:rPr>
        <w:t>Table no</w:t>
      </w:r>
      <w:r w:rsidR="00B41C17">
        <w:rPr>
          <w:rFonts w:ascii="Times New Roman"/>
          <w:b/>
          <w:sz w:val="20"/>
          <w:szCs w:val="20"/>
        </w:rPr>
        <w:t>4</w:t>
      </w:r>
      <w:r w:rsidRPr="00A516D0">
        <w:rPr>
          <w:rFonts w:ascii="Times New Roman"/>
          <w:b/>
          <w:sz w:val="20"/>
          <w:szCs w:val="20"/>
        </w:rPr>
        <w:t xml:space="preserve">: </w:t>
      </w:r>
      <w:r w:rsidR="00F03247" w:rsidRPr="006E3401">
        <w:rPr>
          <w:rFonts w:ascii="Times New Roman"/>
          <w:sz w:val="20"/>
          <w:szCs w:val="20"/>
        </w:rPr>
        <w:t xml:space="preserve">Results of Accuracy </w:t>
      </w:r>
      <w:r w:rsidR="00F03247">
        <w:rPr>
          <w:rFonts w:ascii="Times New Roman"/>
          <w:sz w:val="20"/>
          <w:szCs w:val="20"/>
        </w:rPr>
        <w:t xml:space="preserve">&amp; Precision </w:t>
      </w:r>
      <w:r w:rsidR="00F03247" w:rsidRPr="006E3401">
        <w:rPr>
          <w:rFonts w:ascii="Times New Roman"/>
          <w:sz w:val="20"/>
          <w:szCs w:val="20"/>
        </w:rPr>
        <w:t>Assessment</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89"/>
        <w:gridCol w:w="1346"/>
        <w:gridCol w:w="1347"/>
        <w:gridCol w:w="4611"/>
      </w:tblGrid>
      <w:tr w:rsidR="00ED2FD1" w:rsidRPr="00B743C0" w14:paraId="4DA98151" w14:textId="77777777" w:rsidTr="001D68BF">
        <w:trPr>
          <w:trHeight w:val="202"/>
          <w:jc w:val="center"/>
        </w:trPr>
        <w:tc>
          <w:tcPr>
            <w:tcW w:w="9993" w:type="dxa"/>
            <w:gridSpan w:val="4"/>
            <w:shd w:val="clear" w:color="auto" w:fill="BFBFBF" w:themeFill="background1" w:themeFillShade="BF"/>
            <w:vAlign w:val="center"/>
          </w:tcPr>
          <w:p w14:paraId="65677968" w14:textId="0417B63D" w:rsidR="00ED2FD1" w:rsidRPr="00A737A8" w:rsidRDefault="00ED2FD1" w:rsidP="005D38FE">
            <w:pPr>
              <w:spacing w:after="0" w:line="240" w:lineRule="auto"/>
              <w:jc w:val="center"/>
              <w:rPr>
                <w:rFonts w:ascii="Times New Roman"/>
                <w:b/>
                <w:bCs/>
                <w:noProof/>
                <w:sz w:val="16"/>
                <w:szCs w:val="16"/>
              </w:rPr>
            </w:pPr>
            <w:r w:rsidRPr="00A737A8">
              <w:rPr>
                <w:rFonts w:ascii="Times New Roman"/>
                <w:b/>
                <w:bCs/>
                <w:sz w:val="16"/>
                <w:szCs w:val="16"/>
              </w:rPr>
              <w:t xml:space="preserve">Accuracy </w:t>
            </w:r>
            <w:r w:rsidR="00A737A8">
              <w:rPr>
                <w:rFonts w:ascii="Times New Roman"/>
                <w:b/>
                <w:bCs/>
                <w:sz w:val="16"/>
                <w:szCs w:val="16"/>
              </w:rPr>
              <w:t xml:space="preserve">Acceptance </w:t>
            </w:r>
            <w:r w:rsidRPr="00A737A8">
              <w:rPr>
                <w:rFonts w:ascii="Times New Roman"/>
                <w:b/>
                <w:bCs/>
                <w:sz w:val="16"/>
                <w:szCs w:val="16"/>
              </w:rPr>
              <w:t>Criterion</w:t>
            </w:r>
          </w:p>
        </w:tc>
      </w:tr>
      <w:tr w:rsidR="0029416B" w:rsidRPr="00B743C0" w14:paraId="6D1D0493" w14:textId="77777777" w:rsidTr="00A16FC1">
        <w:trPr>
          <w:trHeight w:val="202"/>
          <w:jc w:val="center"/>
        </w:trPr>
        <w:tc>
          <w:tcPr>
            <w:tcW w:w="2689" w:type="dxa"/>
            <w:shd w:val="clear" w:color="auto" w:fill="auto"/>
            <w:vAlign w:val="center"/>
            <w:hideMark/>
          </w:tcPr>
          <w:p w14:paraId="53B9323B" w14:textId="77777777" w:rsidR="0029416B" w:rsidRPr="00B743C0" w:rsidRDefault="0029416B" w:rsidP="005D38FE">
            <w:pPr>
              <w:spacing w:after="0" w:line="240" w:lineRule="auto"/>
              <w:jc w:val="center"/>
              <w:rPr>
                <w:rFonts w:ascii="Times New Roman"/>
                <w:sz w:val="16"/>
                <w:szCs w:val="16"/>
              </w:rPr>
            </w:pPr>
            <w:r w:rsidRPr="00B743C0">
              <w:rPr>
                <w:rFonts w:ascii="Times New Roman"/>
                <w:b/>
                <w:bCs/>
                <w:sz w:val="16"/>
                <w:szCs w:val="16"/>
              </w:rPr>
              <w:t>Accuracy Based on Absolute ∆%MC</w:t>
            </w:r>
          </w:p>
        </w:tc>
        <w:tc>
          <w:tcPr>
            <w:tcW w:w="1346" w:type="dxa"/>
            <w:shd w:val="clear" w:color="auto" w:fill="auto"/>
            <w:vAlign w:val="center"/>
            <w:hideMark/>
          </w:tcPr>
          <w:p w14:paraId="02C8DECC" w14:textId="77777777" w:rsidR="0029416B" w:rsidRPr="00B743C0" w:rsidRDefault="0029416B" w:rsidP="005D38FE">
            <w:pPr>
              <w:spacing w:after="0" w:line="240" w:lineRule="auto"/>
              <w:jc w:val="center"/>
              <w:rPr>
                <w:rFonts w:ascii="Times New Roman"/>
                <w:sz w:val="16"/>
                <w:szCs w:val="16"/>
              </w:rPr>
            </w:pPr>
            <w:r w:rsidRPr="00B743C0">
              <w:rPr>
                <w:rFonts w:ascii="Times New Roman"/>
                <w:b/>
                <w:bCs/>
                <w:sz w:val="16"/>
                <w:szCs w:val="16"/>
              </w:rPr>
              <w:t>HMA Results</w:t>
            </w:r>
          </w:p>
        </w:tc>
        <w:tc>
          <w:tcPr>
            <w:tcW w:w="1347" w:type="dxa"/>
            <w:shd w:val="clear" w:color="auto" w:fill="auto"/>
            <w:vAlign w:val="center"/>
            <w:hideMark/>
          </w:tcPr>
          <w:p w14:paraId="6F17F805" w14:textId="77777777" w:rsidR="0029416B" w:rsidRPr="00B743C0" w:rsidRDefault="0029416B" w:rsidP="005D38FE">
            <w:pPr>
              <w:spacing w:after="0" w:line="240" w:lineRule="auto"/>
              <w:jc w:val="center"/>
              <w:rPr>
                <w:rFonts w:ascii="Times New Roman"/>
                <w:sz w:val="16"/>
                <w:szCs w:val="16"/>
              </w:rPr>
            </w:pPr>
            <w:r w:rsidRPr="00B743C0">
              <w:rPr>
                <w:rFonts w:ascii="Times New Roman"/>
                <w:b/>
                <w:bCs/>
                <w:sz w:val="16"/>
                <w:szCs w:val="16"/>
              </w:rPr>
              <w:t>DO Reference</w:t>
            </w:r>
          </w:p>
        </w:tc>
        <w:tc>
          <w:tcPr>
            <w:tcW w:w="4611" w:type="dxa"/>
            <w:shd w:val="clear" w:color="auto" w:fill="auto"/>
            <w:vAlign w:val="center"/>
            <w:hideMark/>
          </w:tcPr>
          <w:p w14:paraId="0592D5B4" w14:textId="07461187" w:rsidR="0029416B" w:rsidRPr="00B743C0" w:rsidRDefault="00DF51EC" w:rsidP="005D38FE">
            <w:pPr>
              <w:spacing w:after="0" w:line="240" w:lineRule="auto"/>
              <w:jc w:val="center"/>
              <w:rPr>
                <w:rFonts w:ascii="Times New Roman"/>
                <w:sz w:val="16"/>
                <w:szCs w:val="16"/>
              </w:rPr>
            </w:pPr>
            <w:r w:rsidRPr="007769D1">
              <w:rPr>
                <w:rFonts w:ascii="Times New Roman"/>
                <w:b/>
                <w:bCs/>
                <w:noProof/>
                <w:sz w:val="16"/>
                <w:szCs w:val="16"/>
              </w:rPr>
              <w:t>Comparison, Interpretation &amp; Significance</w:t>
            </w:r>
          </w:p>
        </w:tc>
      </w:tr>
      <w:tr w:rsidR="0029416B" w:rsidRPr="00B743C0" w14:paraId="77650B88" w14:textId="77777777" w:rsidTr="00A16FC1">
        <w:trPr>
          <w:trHeight w:val="202"/>
          <w:jc w:val="center"/>
        </w:trPr>
        <w:tc>
          <w:tcPr>
            <w:tcW w:w="2689" w:type="dxa"/>
            <w:vAlign w:val="center"/>
            <w:hideMark/>
          </w:tcPr>
          <w:p w14:paraId="0D455F5C" w14:textId="77777777" w:rsidR="0029416B" w:rsidRPr="00B743C0" w:rsidRDefault="0029416B" w:rsidP="005D38FE">
            <w:pPr>
              <w:spacing w:after="0" w:line="240" w:lineRule="auto"/>
              <w:jc w:val="center"/>
              <w:rPr>
                <w:rFonts w:ascii="Times New Roman"/>
                <w:sz w:val="16"/>
                <w:szCs w:val="16"/>
              </w:rPr>
            </w:pPr>
            <w:r w:rsidRPr="00B743C0">
              <w:rPr>
                <w:rFonts w:ascii="Times New Roman"/>
                <w:b/>
                <w:bCs/>
                <w:sz w:val="16"/>
                <w:szCs w:val="16"/>
              </w:rPr>
              <w:t>Excellent (∆%MC ≤ 0.1%)</w:t>
            </w:r>
          </w:p>
        </w:tc>
        <w:tc>
          <w:tcPr>
            <w:tcW w:w="1346" w:type="dxa"/>
            <w:vAlign w:val="center"/>
            <w:hideMark/>
          </w:tcPr>
          <w:p w14:paraId="39680BE3" w14:textId="77777777" w:rsidR="0029416B" w:rsidRPr="00B743C0" w:rsidRDefault="0029416B" w:rsidP="005D38FE">
            <w:pPr>
              <w:spacing w:after="0" w:line="240" w:lineRule="auto"/>
              <w:jc w:val="center"/>
              <w:rPr>
                <w:rFonts w:ascii="Times New Roman"/>
                <w:sz w:val="16"/>
                <w:szCs w:val="16"/>
              </w:rPr>
            </w:pPr>
            <w:r w:rsidRPr="00B743C0">
              <w:rPr>
                <w:rFonts w:ascii="Times New Roman"/>
                <w:sz w:val="16"/>
                <w:szCs w:val="16"/>
              </w:rPr>
              <w:t>0 samples</w:t>
            </w:r>
          </w:p>
        </w:tc>
        <w:tc>
          <w:tcPr>
            <w:tcW w:w="1347" w:type="dxa"/>
            <w:vAlign w:val="center"/>
            <w:hideMark/>
          </w:tcPr>
          <w:p w14:paraId="679CD788" w14:textId="77777777" w:rsidR="0029416B" w:rsidRPr="00B743C0" w:rsidRDefault="0029416B" w:rsidP="005D38FE">
            <w:pPr>
              <w:spacing w:after="0" w:line="240" w:lineRule="auto"/>
              <w:jc w:val="center"/>
              <w:rPr>
                <w:rFonts w:ascii="Times New Roman"/>
                <w:sz w:val="16"/>
                <w:szCs w:val="16"/>
              </w:rPr>
            </w:pPr>
            <w:r w:rsidRPr="00B743C0">
              <w:rPr>
                <w:rFonts w:ascii="Times New Roman"/>
                <w:sz w:val="16"/>
                <w:szCs w:val="16"/>
              </w:rPr>
              <w:t>Reference Standard</w:t>
            </w:r>
          </w:p>
        </w:tc>
        <w:tc>
          <w:tcPr>
            <w:tcW w:w="4611" w:type="dxa"/>
            <w:vAlign w:val="center"/>
            <w:hideMark/>
          </w:tcPr>
          <w:p w14:paraId="070574F8" w14:textId="77777777" w:rsidR="0029416B" w:rsidRPr="00B743C0" w:rsidRDefault="0029416B" w:rsidP="005D38FE">
            <w:pPr>
              <w:spacing w:after="0" w:line="240" w:lineRule="auto"/>
              <w:jc w:val="center"/>
              <w:rPr>
                <w:rFonts w:ascii="Times New Roman"/>
                <w:sz w:val="16"/>
                <w:szCs w:val="16"/>
              </w:rPr>
            </w:pPr>
            <w:r w:rsidRPr="00B743C0">
              <w:rPr>
                <w:rFonts w:ascii="Times New Roman"/>
                <w:sz w:val="16"/>
                <w:szCs w:val="16"/>
              </w:rPr>
              <w:t>No sample met the excellent threshold.</w:t>
            </w:r>
          </w:p>
        </w:tc>
      </w:tr>
      <w:tr w:rsidR="0029416B" w:rsidRPr="00B743C0" w14:paraId="44F7FDC4" w14:textId="77777777" w:rsidTr="00A16FC1">
        <w:trPr>
          <w:trHeight w:val="202"/>
          <w:jc w:val="center"/>
        </w:trPr>
        <w:tc>
          <w:tcPr>
            <w:tcW w:w="2689" w:type="dxa"/>
            <w:vAlign w:val="center"/>
            <w:hideMark/>
          </w:tcPr>
          <w:p w14:paraId="7A785E82" w14:textId="77777777" w:rsidR="0029416B" w:rsidRPr="00B743C0" w:rsidRDefault="0029416B" w:rsidP="005D38FE">
            <w:pPr>
              <w:spacing w:after="0" w:line="240" w:lineRule="auto"/>
              <w:jc w:val="center"/>
              <w:rPr>
                <w:rFonts w:ascii="Times New Roman"/>
                <w:sz w:val="16"/>
                <w:szCs w:val="16"/>
              </w:rPr>
            </w:pPr>
            <w:r w:rsidRPr="00B743C0">
              <w:rPr>
                <w:rFonts w:ascii="Times New Roman"/>
                <w:b/>
                <w:bCs/>
                <w:sz w:val="16"/>
                <w:szCs w:val="16"/>
              </w:rPr>
              <w:t>Good (0.1% &lt; ∆%MC ≤ 0.2%)</w:t>
            </w:r>
          </w:p>
        </w:tc>
        <w:tc>
          <w:tcPr>
            <w:tcW w:w="1346" w:type="dxa"/>
            <w:vAlign w:val="center"/>
            <w:hideMark/>
          </w:tcPr>
          <w:p w14:paraId="76CE9609" w14:textId="77777777" w:rsidR="0029416B" w:rsidRPr="00B743C0" w:rsidRDefault="0029416B" w:rsidP="005D38FE">
            <w:pPr>
              <w:spacing w:after="0" w:line="240" w:lineRule="auto"/>
              <w:jc w:val="center"/>
              <w:rPr>
                <w:rFonts w:ascii="Times New Roman"/>
                <w:sz w:val="16"/>
                <w:szCs w:val="16"/>
              </w:rPr>
            </w:pPr>
            <w:r w:rsidRPr="00B743C0">
              <w:rPr>
                <w:rFonts w:ascii="Times New Roman"/>
                <w:sz w:val="16"/>
                <w:szCs w:val="16"/>
              </w:rPr>
              <w:t>0 samples</w:t>
            </w:r>
          </w:p>
        </w:tc>
        <w:tc>
          <w:tcPr>
            <w:tcW w:w="1347" w:type="dxa"/>
            <w:vAlign w:val="center"/>
            <w:hideMark/>
          </w:tcPr>
          <w:p w14:paraId="6E5EDE5D" w14:textId="77777777" w:rsidR="0029416B" w:rsidRPr="00B743C0" w:rsidRDefault="0029416B" w:rsidP="005D38FE">
            <w:pPr>
              <w:spacing w:after="0" w:line="240" w:lineRule="auto"/>
              <w:jc w:val="center"/>
              <w:rPr>
                <w:rFonts w:ascii="Times New Roman"/>
                <w:sz w:val="16"/>
                <w:szCs w:val="16"/>
              </w:rPr>
            </w:pPr>
            <w:r w:rsidRPr="00B743C0">
              <w:rPr>
                <w:rFonts w:ascii="Times New Roman"/>
                <w:sz w:val="16"/>
                <w:szCs w:val="16"/>
              </w:rPr>
              <w:t>Reference Standard</w:t>
            </w:r>
          </w:p>
        </w:tc>
        <w:tc>
          <w:tcPr>
            <w:tcW w:w="4611" w:type="dxa"/>
            <w:vAlign w:val="center"/>
            <w:hideMark/>
          </w:tcPr>
          <w:p w14:paraId="488582CE" w14:textId="77777777" w:rsidR="0029416B" w:rsidRPr="00B743C0" w:rsidRDefault="0029416B" w:rsidP="005D38FE">
            <w:pPr>
              <w:spacing w:after="0" w:line="240" w:lineRule="auto"/>
              <w:jc w:val="center"/>
              <w:rPr>
                <w:rFonts w:ascii="Times New Roman"/>
                <w:sz w:val="16"/>
                <w:szCs w:val="16"/>
              </w:rPr>
            </w:pPr>
            <w:r w:rsidRPr="00B743C0">
              <w:rPr>
                <w:rFonts w:ascii="Times New Roman"/>
                <w:sz w:val="16"/>
                <w:szCs w:val="16"/>
              </w:rPr>
              <w:t>No sample classified as good.</w:t>
            </w:r>
          </w:p>
        </w:tc>
      </w:tr>
      <w:tr w:rsidR="0029416B" w:rsidRPr="00B743C0" w14:paraId="7519C335" w14:textId="77777777" w:rsidTr="00A16FC1">
        <w:trPr>
          <w:trHeight w:val="202"/>
          <w:jc w:val="center"/>
        </w:trPr>
        <w:tc>
          <w:tcPr>
            <w:tcW w:w="2689" w:type="dxa"/>
            <w:vAlign w:val="center"/>
            <w:hideMark/>
          </w:tcPr>
          <w:p w14:paraId="78CF1560" w14:textId="77777777" w:rsidR="0029416B" w:rsidRPr="00B743C0" w:rsidRDefault="0029416B" w:rsidP="005D38FE">
            <w:pPr>
              <w:spacing w:after="0" w:line="240" w:lineRule="auto"/>
              <w:jc w:val="center"/>
              <w:rPr>
                <w:rFonts w:ascii="Times New Roman"/>
                <w:sz w:val="16"/>
                <w:szCs w:val="16"/>
              </w:rPr>
            </w:pPr>
            <w:r w:rsidRPr="00B743C0">
              <w:rPr>
                <w:rFonts w:ascii="Times New Roman"/>
                <w:b/>
                <w:bCs/>
                <w:sz w:val="16"/>
                <w:szCs w:val="16"/>
              </w:rPr>
              <w:t>Acceptable (0.2% &lt; ∆%MC ≤ 0.4%)</w:t>
            </w:r>
          </w:p>
        </w:tc>
        <w:tc>
          <w:tcPr>
            <w:tcW w:w="1346" w:type="dxa"/>
            <w:vAlign w:val="center"/>
            <w:hideMark/>
          </w:tcPr>
          <w:p w14:paraId="3B740786" w14:textId="77777777" w:rsidR="0029416B" w:rsidRPr="00B743C0" w:rsidRDefault="0029416B" w:rsidP="005D38FE">
            <w:pPr>
              <w:spacing w:after="0" w:line="240" w:lineRule="auto"/>
              <w:jc w:val="center"/>
              <w:rPr>
                <w:rFonts w:ascii="Times New Roman"/>
                <w:sz w:val="16"/>
                <w:szCs w:val="16"/>
              </w:rPr>
            </w:pPr>
            <w:r w:rsidRPr="00B743C0">
              <w:rPr>
                <w:rFonts w:ascii="Times New Roman"/>
                <w:sz w:val="16"/>
                <w:szCs w:val="16"/>
              </w:rPr>
              <w:t>0 samples</w:t>
            </w:r>
          </w:p>
        </w:tc>
        <w:tc>
          <w:tcPr>
            <w:tcW w:w="1347" w:type="dxa"/>
            <w:vAlign w:val="center"/>
            <w:hideMark/>
          </w:tcPr>
          <w:p w14:paraId="6D517F10" w14:textId="77777777" w:rsidR="0029416B" w:rsidRPr="00B743C0" w:rsidRDefault="0029416B" w:rsidP="005D38FE">
            <w:pPr>
              <w:spacing w:after="0" w:line="240" w:lineRule="auto"/>
              <w:jc w:val="center"/>
              <w:rPr>
                <w:rFonts w:ascii="Times New Roman"/>
                <w:sz w:val="16"/>
                <w:szCs w:val="16"/>
              </w:rPr>
            </w:pPr>
            <w:r w:rsidRPr="00B743C0">
              <w:rPr>
                <w:rFonts w:ascii="Times New Roman"/>
                <w:sz w:val="16"/>
                <w:szCs w:val="16"/>
              </w:rPr>
              <w:t>Reference Standard</w:t>
            </w:r>
          </w:p>
        </w:tc>
        <w:tc>
          <w:tcPr>
            <w:tcW w:w="4611" w:type="dxa"/>
            <w:vAlign w:val="center"/>
            <w:hideMark/>
          </w:tcPr>
          <w:p w14:paraId="6A846B6A" w14:textId="77777777" w:rsidR="0029416B" w:rsidRPr="00B743C0" w:rsidRDefault="0029416B" w:rsidP="005D38FE">
            <w:pPr>
              <w:spacing w:after="0" w:line="240" w:lineRule="auto"/>
              <w:jc w:val="center"/>
              <w:rPr>
                <w:rFonts w:ascii="Times New Roman"/>
                <w:sz w:val="16"/>
                <w:szCs w:val="16"/>
              </w:rPr>
            </w:pPr>
            <w:r w:rsidRPr="00B743C0">
              <w:rPr>
                <w:rFonts w:ascii="Times New Roman"/>
                <w:sz w:val="16"/>
                <w:szCs w:val="16"/>
              </w:rPr>
              <w:t>No sample classified as acceptable.</w:t>
            </w:r>
          </w:p>
        </w:tc>
      </w:tr>
      <w:tr w:rsidR="0029416B" w:rsidRPr="00B743C0" w14:paraId="2D0916CB" w14:textId="77777777" w:rsidTr="00A16FC1">
        <w:trPr>
          <w:trHeight w:val="202"/>
          <w:jc w:val="center"/>
        </w:trPr>
        <w:tc>
          <w:tcPr>
            <w:tcW w:w="2689" w:type="dxa"/>
            <w:vAlign w:val="center"/>
            <w:hideMark/>
          </w:tcPr>
          <w:p w14:paraId="7862B233" w14:textId="77777777" w:rsidR="0029416B" w:rsidRPr="00B743C0" w:rsidRDefault="0029416B" w:rsidP="005D38FE">
            <w:pPr>
              <w:spacing w:after="0" w:line="240" w:lineRule="auto"/>
              <w:jc w:val="center"/>
              <w:rPr>
                <w:rFonts w:ascii="Times New Roman"/>
                <w:sz w:val="16"/>
                <w:szCs w:val="16"/>
              </w:rPr>
            </w:pPr>
            <w:r w:rsidRPr="00B743C0">
              <w:rPr>
                <w:rFonts w:ascii="Times New Roman"/>
                <w:b/>
                <w:bCs/>
                <w:sz w:val="16"/>
                <w:szCs w:val="16"/>
              </w:rPr>
              <w:t>Failed (∆%MC &gt; 0.4%)</w:t>
            </w:r>
          </w:p>
        </w:tc>
        <w:tc>
          <w:tcPr>
            <w:tcW w:w="1346" w:type="dxa"/>
            <w:vAlign w:val="center"/>
            <w:hideMark/>
          </w:tcPr>
          <w:p w14:paraId="7D5B48BB" w14:textId="77777777" w:rsidR="0029416B" w:rsidRPr="00B743C0" w:rsidRDefault="0029416B" w:rsidP="005D38FE">
            <w:pPr>
              <w:spacing w:after="0" w:line="240" w:lineRule="auto"/>
              <w:jc w:val="center"/>
              <w:rPr>
                <w:rFonts w:ascii="Times New Roman"/>
                <w:sz w:val="16"/>
                <w:szCs w:val="16"/>
              </w:rPr>
            </w:pPr>
            <w:r w:rsidRPr="00B743C0">
              <w:rPr>
                <w:rFonts w:ascii="Times New Roman"/>
                <w:sz w:val="16"/>
                <w:szCs w:val="16"/>
              </w:rPr>
              <w:t>24 samples</w:t>
            </w:r>
          </w:p>
        </w:tc>
        <w:tc>
          <w:tcPr>
            <w:tcW w:w="1347" w:type="dxa"/>
            <w:vAlign w:val="center"/>
            <w:hideMark/>
          </w:tcPr>
          <w:p w14:paraId="32023807" w14:textId="77777777" w:rsidR="0029416B" w:rsidRPr="00B743C0" w:rsidRDefault="0029416B" w:rsidP="005D38FE">
            <w:pPr>
              <w:spacing w:after="0" w:line="240" w:lineRule="auto"/>
              <w:jc w:val="center"/>
              <w:rPr>
                <w:rFonts w:ascii="Times New Roman"/>
                <w:sz w:val="16"/>
                <w:szCs w:val="16"/>
              </w:rPr>
            </w:pPr>
            <w:r w:rsidRPr="00B743C0">
              <w:rPr>
                <w:rFonts w:ascii="Times New Roman"/>
                <w:sz w:val="16"/>
                <w:szCs w:val="16"/>
              </w:rPr>
              <w:t>Reference Standard</w:t>
            </w:r>
          </w:p>
        </w:tc>
        <w:tc>
          <w:tcPr>
            <w:tcW w:w="4611" w:type="dxa"/>
            <w:vAlign w:val="center"/>
            <w:hideMark/>
          </w:tcPr>
          <w:p w14:paraId="1A2C3565" w14:textId="77777777" w:rsidR="0029416B" w:rsidRPr="00B743C0" w:rsidRDefault="0029416B" w:rsidP="005D38FE">
            <w:pPr>
              <w:spacing w:after="0" w:line="240" w:lineRule="auto"/>
              <w:jc w:val="center"/>
              <w:rPr>
                <w:rFonts w:ascii="Times New Roman"/>
                <w:sz w:val="16"/>
                <w:szCs w:val="16"/>
              </w:rPr>
            </w:pPr>
            <w:r w:rsidRPr="00B743C0">
              <w:rPr>
                <w:rFonts w:ascii="Times New Roman"/>
                <w:sz w:val="16"/>
                <w:szCs w:val="16"/>
              </w:rPr>
              <w:t>All samples failed based on accuracy criteria.</w:t>
            </w:r>
          </w:p>
        </w:tc>
      </w:tr>
      <w:tr w:rsidR="00ED2FD1" w:rsidRPr="00B743C0" w14:paraId="79030DA5" w14:textId="77777777" w:rsidTr="001D68BF">
        <w:trPr>
          <w:trHeight w:val="202"/>
          <w:jc w:val="center"/>
        </w:trPr>
        <w:tc>
          <w:tcPr>
            <w:tcW w:w="999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2CFD6D" w14:textId="679C4ECE" w:rsidR="00ED2FD1" w:rsidRPr="00B743C0" w:rsidRDefault="00ED2FD1" w:rsidP="005D38FE">
            <w:pPr>
              <w:spacing w:after="0" w:line="240" w:lineRule="auto"/>
              <w:jc w:val="center"/>
              <w:rPr>
                <w:rFonts w:ascii="Times New Roman"/>
                <w:sz w:val="16"/>
                <w:szCs w:val="16"/>
              </w:rPr>
            </w:pPr>
            <w:r w:rsidRPr="00B942E4">
              <w:rPr>
                <w:rFonts w:ascii="Times New Roman"/>
                <w:b/>
                <w:bCs/>
                <w:sz w:val="16"/>
                <w:szCs w:val="16"/>
              </w:rPr>
              <w:t xml:space="preserve">Precision </w:t>
            </w:r>
            <w:r w:rsidR="00A737A8">
              <w:rPr>
                <w:rFonts w:ascii="Times New Roman"/>
                <w:b/>
                <w:bCs/>
                <w:sz w:val="16"/>
                <w:szCs w:val="16"/>
              </w:rPr>
              <w:t>Acceptance</w:t>
            </w:r>
            <w:r w:rsidR="00A737A8" w:rsidRPr="00B942E4">
              <w:rPr>
                <w:rFonts w:ascii="Times New Roman"/>
                <w:b/>
                <w:bCs/>
                <w:sz w:val="16"/>
                <w:szCs w:val="16"/>
              </w:rPr>
              <w:t xml:space="preserve"> </w:t>
            </w:r>
            <w:r w:rsidRPr="00B942E4">
              <w:rPr>
                <w:rFonts w:ascii="Times New Roman"/>
                <w:b/>
                <w:bCs/>
                <w:sz w:val="16"/>
                <w:szCs w:val="16"/>
              </w:rPr>
              <w:t>Criterion</w:t>
            </w:r>
          </w:p>
        </w:tc>
      </w:tr>
      <w:tr w:rsidR="00ED2FD1" w:rsidRPr="00B743C0" w14:paraId="7C04AD47" w14:textId="77777777" w:rsidTr="00A16FC1">
        <w:trPr>
          <w:trHeight w:val="185"/>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C3EF0" w14:textId="083C8C7D" w:rsidR="00ED2FD1" w:rsidRPr="00B743C0" w:rsidRDefault="00ED2FD1" w:rsidP="005D38FE">
            <w:pPr>
              <w:spacing w:after="0" w:line="240" w:lineRule="auto"/>
              <w:jc w:val="center"/>
              <w:rPr>
                <w:rFonts w:ascii="Times New Roman"/>
                <w:b/>
                <w:bCs/>
                <w:sz w:val="16"/>
                <w:szCs w:val="16"/>
              </w:rPr>
            </w:pPr>
            <w:r w:rsidRPr="00B743C0">
              <w:rPr>
                <w:rFonts w:ascii="Times New Roman"/>
                <w:b/>
                <w:bCs/>
                <w:sz w:val="16"/>
                <w:szCs w:val="16"/>
              </w:rPr>
              <w:t>SD</w:t>
            </w:r>
            <w:r>
              <w:rPr>
                <w:rFonts w:ascii="Times New Roman"/>
                <w:b/>
                <w:bCs/>
                <w:sz w:val="16"/>
                <w:szCs w:val="16"/>
              </w:rPr>
              <w:t xml:space="preserve"> </w:t>
            </w:r>
            <w:r w:rsidRPr="00B743C0">
              <w:rPr>
                <w:rFonts w:ascii="Times New Roman"/>
                <w:b/>
                <w:bCs/>
                <w:sz w:val="16"/>
                <w:szCs w:val="16"/>
              </w:rPr>
              <w:t>Ratio (Q)</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67B66D" w14:textId="43C99F24" w:rsidR="00ED2FD1" w:rsidRPr="00B743C0" w:rsidRDefault="00ED2FD1" w:rsidP="005D38FE">
            <w:pPr>
              <w:spacing w:after="0" w:line="240" w:lineRule="auto"/>
              <w:jc w:val="center"/>
              <w:rPr>
                <w:rFonts w:ascii="Times New Roman"/>
                <w:sz w:val="16"/>
                <w:szCs w:val="16"/>
              </w:rPr>
            </w:pPr>
            <w:r w:rsidRPr="00ED2FD1">
              <w:rPr>
                <w:rFonts w:ascii="Times New Roman"/>
                <w:sz w:val="16"/>
                <w:szCs w:val="16"/>
              </w:rPr>
              <w:t>1.08</w:t>
            </w:r>
          </w:p>
        </w:tc>
        <w:tc>
          <w:tcPr>
            <w:tcW w:w="4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E50F5" w14:textId="77777777" w:rsidR="00ED2FD1" w:rsidRPr="00B743C0" w:rsidRDefault="00ED2FD1" w:rsidP="005D38FE">
            <w:pPr>
              <w:spacing w:after="0" w:line="240" w:lineRule="auto"/>
              <w:jc w:val="center"/>
              <w:rPr>
                <w:rFonts w:ascii="Times New Roman"/>
                <w:sz w:val="16"/>
                <w:szCs w:val="16"/>
              </w:rPr>
            </w:pPr>
            <w:r w:rsidRPr="00B743C0">
              <w:rPr>
                <w:rFonts w:ascii="Times New Roman"/>
                <w:sz w:val="16"/>
                <w:szCs w:val="16"/>
              </w:rPr>
              <w:t>Variability between methods is comparable.</w:t>
            </w:r>
          </w:p>
        </w:tc>
      </w:tr>
      <w:tr w:rsidR="00032B0F" w:rsidRPr="00B743C0" w14:paraId="7A239BC8" w14:textId="77777777" w:rsidTr="00A16FC1">
        <w:trPr>
          <w:trHeight w:val="131"/>
          <w:jc w:val="center"/>
        </w:trPr>
        <w:tc>
          <w:tcPr>
            <w:tcW w:w="2689" w:type="dxa"/>
            <w:tcBorders>
              <w:top w:val="single" w:sz="4" w:space="0" w:color="auto"/>
              <w:left w:val="single" w:sz="4" w:space="0" w:color="auto"/>
              <w:right w:val="single" w:sz="4" w:space="0" w:color="auto"/>
            </w:tcBorders>
            <w:shd w:val="clear" w:color="auto" w:fill="auto"/>
            <w:vAlign w:val="center"/>
            <w:hideMark/>
          </w:tcPr>
          <w:p w14:paraId="5B09D843" w14:textId="34E1B2C8" w:rsidR="00032B0F" w:rsidRPr="00B743C0" w:rsidRDefault="00032B0F" w:rsidP="005D38FE">
            <w:pPr>
              <w:spacing w:after="0" w:line="240" w:lineRule="auto"/>
              <w:jc w:val="center"/>
              <w:rPr>
                <w:rFonts w:ascii="Times New Roman"/>
                <w:b/>
                <w:bCs/>
                <w:sz w:val="16"/>
                <w:szCs w:val="16"/>
              </w:rPr>
            </w:pPr>
            <w:bookmarkStart w:id="1" w:name="_Hlk195276394"/>
            <w:r w:rsidRPr="00B743C0">
              <w:rPr>
                <w:rFonts w:ascii="Times New Roman"/>
                <w:b/>
                <w:bCs/>
                <w:sz w:val="16"/>
                <w:szCs w:val="16"/>
              </w:rPr>
              <w:t xml:space="preserve">Analyst </w:t>
            </w:r>
            <w:r>
              <w:rPr>
                <w:rFonts w:ascii="Times New Roman"/>
                <w:b/>
                <w:bCs/>
                <w:sz w:val="16"/>
                <w:szCs w:val="16"/>
              </w:rPr>
              <w:t xml:space="preserve">I &amp; II </w:t>
            </w:r>
            <w:r w:rsidRPr="00B743C0">
              <w:rPr>
                <w:rFonts w:ascii="Times New Roman"/>
                <w:b/>
                <w:bCs/>
                <w:sz w:val="16"/>
                <w:szCs w:val="16"/>
              </w:rPr>
              <w:t>Variability</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C785F" w14:textId="15E65AB3" w:rsidR="00E95B5A" w:rsidRDefault="00032B0F" w:rsidP="005D38FE">
            <w:pPr>
              <w:spacing w:after="0" w:line="240" w:lineRule="auto"/>
              <w:jc w:val="center"/>
              <w:rPr>
                <w:rFonts w:ascii="Times New Roman"/>
                <w:b/>
                <w:bCs/>
                <w:sz w:val="16"/>
                <w:szCs w:val="16"/>
              </w:rPr>
            </w:pPr>
            <w:r>
              <w:rPr>
                <w:rFonts w:ascii="Times New Roman"/>
                <w:b/>
                <w:bCs/>
                <w:sz w:val="16"/>
                <w:szCs w:val="16"/>
              </w:rPr>
              <w:t>t-test</w:t>
            </w:r>
          </w:p>
          <w:p w14:paraId="41B0E863" w14:textId="46E789C0" w:rsidR="00032B0F" w:rsidRPr="00B743C0" w:rsidRDefault="00032B0F" w:rsidP="005D38FE">
            <w:pPr>
              <w:spacing w:after="0" w:line="240" w:lineRule="auto"/>
              <w:jc w:val="center"/>
              <w:rPr>
                <w:rFonts w:ascii="Times New Roman"/>
                <w:sz w:val="16"/>
                <w:szCs w:val="16"/>
              </w:rPr>
            </w:pPr>
            <w:r>
              <w:rPr>
                <w:rFonts w:ascii="Times New Roman"/>
                <w:b/>
                <w:bCs/>
                <w:sz w:val="16"/>
                <w:szCs w:val="16"/>
              </w:rPr>
              <w:t>(t-stat. &amp; p-value)</w:t>
            </w:r>
          </w:p>
        </w:tc>
        <w:tc>
          <w:tcPr>
            <w:tcW w:w="1347" w:type="dxa"/>
            <w:tcBorders>
              <w:top w:val="single" w:sz="4" w:space="0" w:color="auto"/>
              <w:left w:val="single" w:sz="4" w:space="0" w:color="auto"/>
              <w:right w:val="single" w:sz="4" w:space="0" w:color="auto"/>
            </w:tcBorders>
            <w:shd w:val="clear" w:color="auto" w:fill="auto"/>
            <w:vAlign w:val="center"/>
            <w:hideMark/>
          </w:tcPr>
          <w:p w14:paraId="7DD09B6C" w14:textId="41323CD9" w:rsidR="00E95B5A" w:rsidRDefault="00032B0F" w:rsidP="005D38FE">
            <w:pPr>
              <w:spacing w:after="0" w:line="240" w:lineRule="auto"/>
              <w:jc w:val="center"/>
              <w:rPr>
                <w:rFonts w:ascii="Times New Roman"/>
                <w:b/>
                <w:bCs/>
                <w:sz w:val="16"/>
                <w:szCs w:val="16"/>
              </w:rPr>
            </w:pPr>
            <w:r w:rsidRPr="00BB0B1A">
              <w:rPr>
                <w:rFonts w:ascii="Times New Roman"/>
                <w:b/>
                <w:bCs/>
                <w:sz w:val="16"/>
                <w:szCs w:val="16"/>
              </w:rPr>
              <w:t>Levene’s Test</w:t>
            </w:r>
          </w:p>
          <w:p w14:paraId="59A9F141" w14:textId="00E57545" w:rsidR="00032B0F" w:rsidRPr="00B743C0" w:rsidRDefault="00032B0F" w:rsidP="005D38FE">
            <w:pPr>
              <w:spacing w:after="0" w:line="240" w:lineRule="auto"/>
              <w:jc w:val="center"/>
              <w:rPr>
                <w:rFonts w:ascii="Times New Roman"/>
                <w:sz w:val="16"/>
                <w:szCs w:val="16"/>
              </w:rPr>
            </w:pPr>
            <w:r>
              <w:rPr>
                <w:rFonts w:ascii="Times New Roman"/>
                <w:b/>
                <w:bCs/>
                <w:sz w:val="16"/>
                <w:szCs w:val="16"/>
              </w:rPr>
              <w:t>(F</w:t>
            </w:r>
            <w:r w:rsidRPr="00ED2FD1">
              <w:rPr>
                <w:rFonts w:ascii="Times New Roman"/>
                <w:b/>
                <w:bCs/>
                <w:sz w:val="16"/>
                <w:szCs w:val="16"/>
              </w:rPr>
              <w:t>-</w:t>
            </w:r>
            <w:r>
              <w:rPr>
                <w:rFonts w:ascii="Times New Roman"/>
                <w:b/>
                <w:bCs/>
                <w:sz w:val="16"/>
                <w:szCs w:val="16"/>
              </w:rPr>
              <w:t>s</w:t>
            </w:r>
            <w:r w:rsidRPr="00ED2FD1">
              <w:rPr>
                <w:rFonts w:ascii="Times New Roman"/>
                <w:b/>
                <w:bCs/>
                <w:sz w:val="16"/>
                <w:szCs w:val="16"/>
              </w:rPr>
              <w:t>tat</w:t>
            </w:r>
            <w:r>
              <w:rPr>
                <w:rFonts w:ascii="Times New Roman"/>
                <w:b/>
                <w:bCs/>
                <w:sz w:val="16"/>
                <w:szCs w:val="16"/>
              </w:rPr>
              <w:t>. &amp;</w:t>
            </w:r>
            <w:r w:rsidRPr="00ED2FD1">
              <w:rPr>
                <w:rFonts w:ascii="Times New Roman"/>
                <w:b/>
                <w:bCs/>
                <w:sz w:val="16"/>
                <w:szCs w:val="16"/>
              </w:rPr>
              <w:t xml:space="preserve"> p-</w:t>
            </w:r>
            <w:r>
              <w:rPr>
                <w:rFonts w:ascii="Times New Roman"/>
                <w:b/>
                <w:bCs/>
                <w:sz w:val="16"/>
                <w:szCs w:val="16"/>
              </w:rPr>
              <w:t>v</w:t>
            </w:r>
            <w:r w:rsidRPr="00ED2FD1">
              <w:rPr>
                <w:rFonts w:ascii="Times New Roman"/>
                <w:b/>
                <w:bCs/>
                <w:sz w:val="16"/>
                <w:szCs w:val="16"/>
              </w:rPr>
              <w:t>alue</w:t>
            </w:r>
            <w:r>
              <w:rPr>
                <w:rFonts w:ascii="Times New Roman"/>
                <w:b/>
                <w:bCs/>
                <w:sz w:val="16"/>
                <w:szCs w:val="16"/>
              </w:rPr>
              <w:t>)</w:t>
            </w:r>
          </w:p>
        </w:tc>
        <w:tc>
          <w:tcPr>
            <w:tcW w:w="4611" w:type="dxa"/>
            <w:vMerge w:val="restart"/>
            <w:tcBorders>
              <w:top w:val="single" w:sz="4" w:space="0" w:color="auto"/>
              <w:left w:val="single" w:sz="4" w:space="0" w:color="auto"/>
              <w:right w:val="single" w:sz="4" w:space="0" w:color="auto"/>
            </w:tcBorders>
            <w:shd w:val="clear" w:color="auto" w:fill="auto"/>
            <w:vAlign w:val="center"/>
            <w:hideMark/>
          </w:tcPr>
          <w:p w14:paraId="67992B6B" w14:textId="70D02EA6" w:rsidR="00032B0F" w:rsidRPr="00B743C0" w:rsidRDefault="00E95B5A" w:rsidP="005D38FE">
            <w:pPr>
              <w:spacing w:after="0" w:line="240" w:lineRule="auto"/>
              <w:jc w:val="center"/>
              <w:rPr>
                <w:rFonts w:ascii="Times New Roman"/>
                <w:sz w:val="16"/>
                <w:szCs w:val="16"/>
              </w:rPr>
            </w:pPr>
            <w:r w:rsidRPr="00E95B5A">
              <w:rPr>
                <w:rFonts w:ascii="Times New Roman"/>
                <w:sz w:val="16"/>
                <w:szCs w:val="16"/>
              </w:rPr>
              <w:t>Analyst I</w:t>
            </w:r>
            <w:r w:rsidR="00B45FCD" w:rsidRPr="00B45FCD">
              <w:rPr>
                <w:rFonts w:ascii="Times New Roman"/>
                <w:sz w:val="16"/>
                <w:szCs w:val="16"/>
                <w:vertAlign w:val="superscript"/>
              </w:rPr>
              <w:t>1</w:t>
            </w:r>
            <w:r w:rsidRPr="00E95B5A">
              <w:rPr>
                <w:rFonts w:ascii="Times New Roman"/>
                <w:sz w:val="16"/>
                <w:szCs w:val="16"/>
              </w:rPr>
              <w:t>'s mean measurements and Analyst II</w:t>
            </w:r>
            <w:r w:rsidR="00B45FCD" w:rsidRPr="00B45FCD">
              <w:rPr>
                <w:rFonts w:ascii="Times New Roman"/>
                <w:sz w:val="16"/>
                <w:szCs w:val="16"/>
                <w:vertAlign w:val="superscript"/>
              </w:rPr>
              <w:t>2</w:t>
            </w:r>
            <w:r w:rsidRPr="00E95B5A">
              <w:rPr>
                <w:rFonts w:ascii="Times New Roman"/>
                <w:sz w:val="16"/>
                <w:szCs w:val="16"/>
              </w:rPr>
              <w:t xml:space="preserve">'s variability are not significantly different from their respective comparisons, suggesting consistency and stability in their </w:t>
            </w:r>
            <w:r w:rsidR="00A407CE" w:rsidRPr="00E95B5A">
              <w:rPr>
                <w:rFonts w:ascii="Times New Roman"/>
                <w:sz w:val="16"/>
                <w:szCs w:val="16"/>
              </w:rPr>
              <w:t>data.</w:t>
            </w:r>
          </w:p>
        </w:tc>
      </w:tr>
      <w:tr w:rsidR="00032B0F" w:rsidRPr="00B743C0" w14:paraId="6B77CB26" w14:textId="77777777" w:rsidTr="00A16FC1">
        <w:trPr>
          <w:trHeight w:val="131"/>
          <w:jc w:val="center"/>
        </w:trPr>
        <w:tc>
          <w:tcPr>
            <w:tcW w:w="2689" w:type="dxa"/>
            <w:tcBorders>
              <w:left w:val="single" w:sz="4" w:space="0" w:color="auto"/>
              <w:right w:val="single" w:sz="4" w:space="0" w:color="auto"/>
            </w:tcBorders>
            <w:shd w:val="clear" w:color="auto" w:fill="auto"/>
            <w:vAlign w:val="center"/>
          </w:tcPr>
          <w:p w14:paraId="20ABCC58" w14:textId="26252113" w:rsidR="00032B0F" w:rsidRPr="00BB0B1A" w:rsidRDefault="00032B0F" w:rsidP="00B45FCD">
            <w:pPr>
              <w:spacing w:after="0" w:line="240" w:lineRule="auto"/>
              <w:jc w:val="center"/>
              <w:rPr>
                <w:rFonts w:ascii="Times New Roman"/>
                <w:b/>
                <w:bCs/>
                <w:sz w:val="16"/>
                <w:szCs w:val="16"/>
              </w:rPr>
            </w:pPr>
            <w:r w:rsidRPr="00B743C0">
              <w:rPr>
                <w:rFonts w:ascii="Times New Roman"/>
                <w:b/>
                <w:bCs/>
                <w:sz w:val="16"/>
                <w:szCs w:val="16"/>
              </w:rPr>
              <w:t xml:space="preserve">Analyst </w:t>
            </w:r>
            <w:r>
              <w:rPr>
                <w:rFonts w:ascii="Times New Roman"/>
                <w:b/>
                <w:bCs/>
                <w:sz w:val="16"/>
                <w:szCs w:val="16"/>
              </w:rPr>
              <w:t>I</w:t>
            </w:r>
            <w:r w:rsidR="00BE7BD5">
              <w:rPr>
                <w:rFonts w:ascii="Times New Roman"/>
                <w:b/>
                <w:bCs/>
                <w:sz w:val="16"/>
                <w:szCs w:val="16"/>
              </w:rPr>
              <w:t xml:space="preserve"> (n1-n16)</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79CB1805" w14:textId="3E548F23" w:rsidR="00032B0F" w:rsidRPr="00B743C0" w:rsidRDefault="00032B0F" w:rsidP="00B45FCD">
            <w:pPr>
              <w:spacing w:after="0" w:line="240" w:lineRule="auto"/>
              <w:jc w:val="center"/>
              <w:rPr>
                <w:rFonts w:ascii="Times New Roman"/>
                <w:sz w:val="16"/>
                <w:szCs w:val="16"/>
              </w:rPr>
            </w:pPr>
            <w:r w:rsidRPr="00B45FCD">
              <w:rPr>
                <w:rFonts w:ascii="Times New Roman"/>
                <w:i/>
                <w:iCs/>
                <w:sz w:val="16"/>
                <w:szCs w:val="16"/>
              </w:rPr>
              <w:t>t</w:t>
            </w:r>
            <w:r w:rsidRPr="00032B0F">
              <w:rPr>
                <w:rFonts w:ascii="Times New Roman"/>
                <w:sz w:val="16"/>
                <w:szCs w:val="16"/>
              </w:rPr>
              <w:t xml:space="preserve"> = </w:t>
            </w:r>
            <w:r w:rsidR="00F6777F" w:rsidRPr="00F6777F">
              <w:rPr>
                <w:rFonts w:ascii="Times New Roman"/>
                <w:sz w:val="16"/>
                <w:szCs w:val="16"/>
              </w:rPr>
              <w:t>-1.47</w:t>
            </w:r>
          </w:p>
        </w:tc>
        <w:tc>
          <w:tcPr>
            <w:tcW w:w="1347" w:type="dxa"/>
            <w:tcBorders>
              <w:left w:val="single" w:sz="4" w:space="0" w:color="auto"/>
              <w:bottom w:val="single" w:sz="4" w:space="0" w:color="auto"/>
              <w:right w:val="single" w:sz="4" w:space="0" w:color="auto"/>
            </w:tcBorders>
            <w:shd w:val="clear" w:color="auto" w:fill="auto"/>
            <w:vAlign w:val="center"/>
          </w:tcPr>
          <w:p w14:paraId="7F655FAA" w14:textId="0A781FD3" w:rsidR="00032B0F" w:rsidRPr="00B743C0" w:rsidRDefault="00B45FCD" w:rsidP="00B45FCD">
            <w:pPr>
              <w:spacing w:after="0" w:line="240" w:lineRule="auto"/>
              <w:jc w:val="center"/>
              <w:rPr>
                <w:rFonts w:ascii="Times New Roman"/>
                <w:sz w:val="16"/>
                <w:szCs w:val="16"/>
              </w:rPr>
            </w:pPr>
            <w:r w:rsidRPr="00B45FCD">
              <w:rPr>
                <w:rFonts w:ascii="Times New Roman"/>
                <w:i/>
                <w:iCs/>
                <w:sz w:val="16"/>
                <w:szCs w:val="16"/>
              </w:rPr>
              <w:t>p</w:t>
            </w:r>
            <w:r w:rsidRPr="00032B0F">
              <w:rPr>
                <w:rFonts w:ascii="Times New Roman"/>
                <w:sz w:val="16"/>
                <w:szCs w:val="16"/>
              </w:rPr>
              <w:t xml:space="preserve"> = </w:t>
            </w:r>
            <w:r w:rsidR="00F6777F" w:rsidRPr="00F6777F">
              <w:rPr>
                <w:rFonts w:ascii="Times New Roman"/>
                <w:sz w:val="16"/>
                <w:szCs w:val="16"/>
              </w:rPr>
              <w:t>0.674</w:t>
            </w:r>
          </w:p>
        </w:tc>
        <w:tc>
          <w:tcPr>
            <w:tcW w:w="4611" w:type="dxa"/>
            <w:vMerge/>
            <w:tcBorders>
              <w:left w:val="single" w:sz="4" w:space="0" w:color="auto"/>
              <w:right w:val="single" w:sz="4" w:space="0" w:color="auto"/>
            </w:tcBorders>
            <w:shd w:val="clear" w:color="auto" w:fill="auto"/>
            <w:vAlign w:val="center"/>
          </w:tcPr>
          <w:p w14:paraId="6F13F3AB" w14:textId="77777777" w:rsidR="00032B0F" w:rsidRPr="00B743C0" w:rsidRDefault="00032B0F" w:rsidP="005D38FE">
            <w:pPr>
              <w:spacing w:after="0" w:line="240" w:lineRule="auto"/>
              <w:jc w:val="center"/>
              <w:rPr>
                <w:rFonts w:ascii="Times New Roman"/>
                <w:sz w:val="16"/>
                <w:szCs w:val="16"/>
              </w:rPr>
            </w:pPr>
          </w:p>
        </w:tc>
      </w:tr>
      <w:tr w:rsidR="00032B0F" w:rsidRPr="00B743C0" w14:paraId="5E9F0471" w14:textId="77777777" w:rsidTr="00A16FC1">
        <w:trPr>
          <w:trHeight w:val="185"/>
          <w:jc w:val="center"/>
        </w:trPr>
        <w:tc>
          <w:tcPr>
            <w:tcW w:w="2689" w:type="dxa"/>
            <w:tcBorders>
              <w:left w:val="single" w:sz="4" w:space="0" w:color="auto"/>
              <w:bottom w:val="single" w:sz="4" w:space="0" w:color="auto"/>
              <w:right w:val="single" w:sz="4" w:space="0" w:color="auto"/>
            </w:tcBorders>
            <w:shd w:val="clear" w:color="auto" w:fill="auto"/>
            <w:vAlign w:val="center"/>
          </w:tcPr>
          <w:p w14:paraId="58CE4DE8" w14:textId="444E8B9E" w:rsidR="00032B0F" w:rsidRDefault="00032B0F" w:rsidP="00B45FCD">
            <w:pPr>
              <w:spacing w:after="0" w:line="240" w:lineRule="auto"/>
              <w:jc w:val="center"/>
              <w:rPr>
                <w:rFonts w:ascii="Times New Roman"/>
                <w:b/>
                <w:bCs/>
                <w:sz w:val="16"/>
                <w:szCs w:val="16"/>
              </w:rPr>
            </w:pPr>
            <w:r w:rsidRPr="00B743C0">
              <w:rPr>
                <w:rFonts w:ascii="Times New Roman"/>
                <w:b/>
                <w:bCs/>
                <w:sz w:val="16"/>
                <w:szCs w:val="16"/>
              </w:rPr>
              <w:t xml:space="preserve">Analyst </w:t>
            </w:r>
            <w:r>
              <w:rPr>
                <w:rFonts w:ascii="Times New Roman"/>
                <w:b/>
                <w:bCs/>
                <w:sz w:val="16"/>
                <w:szCs w:val="16"/>
              </w:rPr>
              <w:t>II</w:t>
            </w:r>
            <w:r w:rsidR="00BE7BD5">
              <w:rPr>
                <w:rFonts w:ascii="Times New Roman"/>
                <w:b/>
                <w:bCs/>
                <w:sz w:val="16"/>
                <w:szCs w:val="16"/>
              </w:rPr>
              <w:t xml:space="preserve"> (n17-n24)</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7D8FADBF" w14:textId="66193F7F" w:rsidR="00032B0F" w:rsidRPr="00B743C0" w:rsidRDefault="00032B0F" w:rsidP="00B45FCD">
            <w:pPr>
              <w:spacing w:after="0" w:line="240" w:lineRule="auto"/>
              <w:jc w:val="center"/>
              <w:rPr>
                <w:rFonts w:ascii="Times New Roman"/>
                <w:sz w:val="16"/>
                <w:szCs w:val="16"/>
              </w:rPr>
            </w:pPr>
            <w:r w:rsidRPr="00B45FCD">
              <w:rPr>
                <w:rFonts w:ascii="Times New Roman"/>
                <w:i/>
                <w:iCs/>
                <w:sz w:val="16"/>
                <w:szCs w:val="16"/>
              </w:rPr>
              <w:t>p</w:t>
            </w:r>
            <w:r w:rsidRPr="00032B0F">
              <w:rPr>
                <w:rFonts w:ascii="Times New Roman"/>
                <w:sz w:val="16"/>
                <w:szCs w:val="16"/>
              </w:rPr>
              <w:t xml:space="preserve"> = </w:t>
            </w:r>
            <w:r w:rsidR="00F6777F" w:rsidRPr="00F6777F">
              <w:rPr>
                <w:rFonts w:ascii="Times New Roman"/>
                <w:sz w:val="16"/>
                <w:szCs w:val="16"/>
              </w:rPr>
              <w:t>0.157</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0C096AE1" w14:textId="3899844A" w:rsidR="00032B0F" w:rsidRPr="00B743C0" w:rsidRDefault="00032B0F" w:rsidP="00B45FCD">
            <w:pPr>
              <w:spacing w:after="0" w:line="240" w:lineRule="auto"/>
              <w:jc w:val="center"/>
              <w:rPr>
                <w:rFonts w:ascii="Times New Roman"/>
                <w:sz w:val="16"/>
                <w:szCs w:val="16"/>
              </w:rPr>
            </w:pPr>
            <w:r w:rsidRPr="00B45FCD">
              <w:rPr>
                <w:rFonts w:ascii="Times New Roman"/>
                <w:i/>
                <w:iCs/>
                <w:sz w:val="16"/>
                <w:szCs w:val="16"/>
              </w:rPr>
              <w:t>F</w:t>
            </w:r>
            <w:r w:rsidRPr="00032B0F">
              <w:rPr>
                <w:rFonts w:ascii="Times New Roman"/>
                <w:sz w:val="16"/>
                <w:szCs w:val="16"/>
              </w:rPr>
              <w:t xml:space="preserve"> = </w:t>
            </w:r>
            <w:r w:rsidR="00F6777F" w:rsidRPr="00F6777F">
              <w:rPr>
                <w:rFonts w:ascii="Times New Roman"/>
                <w:sz w:val="16"/>
                <w:szCs w:val="16"/>
              </w:rPr>
              <w:t>0.18</w:t>
            </w:r>
          </w:p>
        </w:tc>
        <w:tc>
          <w:tcPr>
            <w:tcW w:w="4611" w:type="dxa"/>
            <w:vMerge/>
            <w:tcBorders>
              <w:left w:val="single" w:sz="4" w:space="0" w:color="auto"/>
              <w:bottom w:val="single" w:sz="4" w:space="0" w:color="auto"/>
              <w:right w:val="single" w:sz="4" w:space="0" w:color="auto"/>
            </w:tcBorders>
            <w:shd w:val="clear" w:color="auto" w:fill="auto"/>
            <w:vAlign w:val="center"/>
          </w:tcPr>
          <w:p w14:paraId="60560231" w14:textId="77777777" w:rsidR="00032B0F" w:rsidRPr="00B743C0" w:rsidRDefault="00032B0F" w:rsidP="005D38FE">
            <w:pPr>
              <w:spacing w:after="0" w:line="240" w:lineRule="auto"/>
              <w:jc w:val="center"/>
              <w:rPr>
                <w:rFonts w:ascii="Times New Roman"/>
                <w:sz w:val="16"/>
                <w:szCs w:val="16"/>
              </w:rPr>
            </w:pPr>
          </w:p>
        </w:tc>
      </w:tr>
      <w:bookmarkEnd w:id="1"/>
    </w:tbl>
    <w:p w14:paraId="0EB1BD56" w14:textId="77777777" w:rsidR="0029416B" w:rsidRDefault="0029416B" w:rsidP="009D6D00">
      <w:pPr>
        <w:spacing w:after="0" w:line="240" w:lineRule="auto"/>
        <w:jc w:val="both"/>
        <w:rPr>
          <w:rFonts w:ascii="Times New Roman"/>
          <w:sz w:val="20"/>
          <w:szCs w:val="20"/>
        </w:rPr>
      </w:pPr>
    </w:p>
    <w:p w14:paraId="06968A9F" w14:textId="77FC29A3" w:rsidR="00CF47C4" w:rsidRPr="00A516D0" w:rsidRDefault="008A7684" w:rsidP="006A31B5">
      <w:pPr>
        <w:pStyle w:val="ListParagraph"/>
        <w:numPr>
          <w:ilvl w:val="0"/>
          <w:numId w:val="5"/>
        </w:numPr>
        <w:spacing w:after="0" w:line="240" w:lineRule="auto"/>
        <w:ind w:left="360" w:hanging="360"/>
        <w:jc w:val="center"/>
        <w:rPr>
          <w:rFonts w:ascii="Times New Roman"/>
          <w:b/>
          <w:szCs w:val="20"/>
        </w:rPr>
      </w:pPr>
      <w:r w:rsidRPr="00A516D0">
        <w:rPr>
          <w:rFonts w:ascii="Times New Roman"/>
          <w:b/>
          <w:szCs w:val="20"/>
        </w:rPr>
        <w:t>Discussion</w:t>
      </w:r>
    </w:p>
    <w:p w14:paraId="66E50161" w14:textId="4E7DA184" w:rsidR="00F27245" w:rsidRPr="00F27245" w:rsidRDefault="00F27245" w:rsidP="009D6D00">
      <w:pPr>
        <w:spacing w:after="0" w:line="240" w:lineRule="auto"/>
        <w:ind w:firstLine="720"/>
        <w:jc w:val="both"/>
        <w:rPr>
          <w:rFonts w:ascii="Times New Roman"/>
          <w:sz w:val="20"/>
          <w:szCs w:val="20"/>
          <w:lang w:bidi="hi-IN"/>
        </w:rPr>
      </w:pPr>
      <w:r w:rsidRPr="00F27245">
        <w:rPr>
          <w:rFonts w:ascii="Times New Roman"/>
          <w:sz w:val="20"/>
          <w:szCs w:val="20"/>
          <w:lang w:bidi="hi-IN"/>
        </w:rPr>
        <w:t xml:space="preserve">The systematic comparison of HMA and vacuum DO methods for moisture </w:t>
      </w:r>
      <w:r w:rsidR="00D91408">
        <w:rPr>
          <w:rFonts w:ascii="Times New Roman"/>
          <w:sz w:val="20"/>
          <w:szCs w:val="20"/>
          <w:lang w:bidi="hi-IN"/>
        </w:rPr>
        <w:t xml:space="preserve">content </w:t>
      </w:r>
      <w:r w:rsidRPr="00F27245">
        <w:rPr>
          <w:rFonts w:ascii="Times New Roman"/>
          <w:sz w:val="20"/>
          <w:szCs w:val="20"/>
          <w:lang w:bidi="hi-IN"/>
        </w:rPr>
        <w:t xml:space="preserve">determination in </w:t>
      </w:r>
      <w:r w:rsidR="00B977BF">
        <w:rPr>
          <w:rFonts w:ascii="Times New Roman"/>
          <w:sz w:val="20"/>
          <w:szCs w:val="20"/>
          <w:lang w:bidi="hi-IN"/>
        </w:rPr>
        <w:t xml:space="preserve">dry </w:t>
      </w:r>
      <w:r w:rsidRPr="00F27245">
        <w:rPr>
          <w:rFonts w:ascii="Times New Roman"/>
          <w:sz w:val="20"/>
          <w:szCs w:val="20"/>
          <w:lang w:bidi="hi-IN"/>
        </w:rPr>
        <w:t xml:space="preserve">cannabis flowers reveals critical insights into the interplay between analytical methodology, material composition, and operational practicality. The HMA method, operating at 105°C, reported a mean moisture content (%MC) of 10.33% ± 0.61%, while the DO method, adhering to </w:t>
      </w:r>
      <w:proofErr w:type="spellStart"/>
      <w:r w:rsidRPr="00F27245">
        <w:rPr>
          <w:rFonts w:ascii="Times New Roman"/>
          <w:sz w:val="20"/>
          <w:szCs w:val="20"/>
          <w:lang w:bidi="hi-IN"/>
        </w:rPr>
        <w:t>Ph.Eur</w:t>
      </w:r>
      <w:proofErr w:type="spellEnd"/>
      <w:r w:rsidRPr="00F27245">
        <w:rPr>
          <w:rFonts w:ascii="Times New Roman"/>
          <w:sz w:val="20"/>
          <w:szCs w:val="20"/>
          <w:lang w:bidi="hi-IN"/>
        </w:rPr>
        <w:t xml:space="preserve">. 2.2.32 guidelines, yielded a significantly lower mean of 6.87% ± 0.57% [11]. This 3.46% absolute discrepancy </w:t>
      </w:r>
      <w:r w:rsidR="00DB2A01" w:rsidRPr="00DB2A01">
        <w:rPr>
          <w:rFonts w:ascii="Times New Roman"/>
          <w:sz w:val="20"/>
          <w:szCs w:val="20"/>
          <w:lang w:bidi="hi-IN"/>
        </w:rPr>
        <w:t>Δ%MC</w:t>
      </w:r>
      <w:r w:rsidR="00DB2A01" w:rsidRPr="00DB2A01">
        <w:rPr>
          <w:rFonts w:ascii="Times New Roman"/>
          <w:sz w:val="20"/>
          <w:szCs w:val="20"/>
          <w:vertAlign w:val="subscript"/>
          <w:lang w:bidi="hi-IN"/>
        </w:rPr>
        <w:t>|DO – HMA|</w:t>
      </w:r>
      <w:r w:rsidR="00DB2A01" w:rsidRPr="00DB2A01">
        <w:rPr>
          <w:rFonts w:ascii="Times New Roman"/>
          <w:sz w:val="20"/>
          <w:szCs w:val="20"/>
          <w:lang w:bidi="hi-IN"/>
        </w:rPr>
        <w:t xml:space="preserve"> </w:t>
      </w:r>
      <w:r w:rsidRPr="00F27245">
        <w:rPr>
          <w:rFonts w:ascii="Times New Roman"/>
          <w:sz w:val="20"/>
          <w:szCs w:val="20"/>
          <w:lang w:bidi="hi-IN"/>
        </w:rPr>
        <w:t xml:space="preserve">is not an analytical artifact but a consequence of fundamental thermodynamic and chemical interactions inherent to cannabis’s complex matrix. At 105°C, the HMA volatilizes not only free and bound water but also low-boiling-point volatile organic compounds (VOCs), including monoterpenes </w:t>
      </w:r>
      <w:r w:rsidR="00B21218">
        <w:rPr>
          <w:rFonts w:ascii="Times New Roman"/>
          <w:sz w:val="20"/>
          <w:szCs w:val="20"/>
          <w:lang w:bidi="hi-IN"/>
        </w:rPr>
        <w:t xml:space="preserve">and </w:t>
      </w:r>
      <w:r w:rsidR="00B977BF">
        <w:rPr>
          <w:rFonts w:ascii="Times New Roman"/>
          <w:sz w:val="20"/>
          <w:szCs w:val="20"/>
          <w:lang w:bidi="hi-IN"/>
        </w:rPr>
        <w:t>s</w:t>
      </w:r>
      <w:r w:rsidR="00B21218" w:rsidRPr="00B21218">
        <w:rPr>
          <w:rFonts w:ascii="Times New Roman"/>
          <w:sz w:val="20"/>
          <w:szCs w:val="20"/>
          <w:lang w:bidi="hi-IN"/>
        </w:rPr>
        <w:t>esquiterpenes</w:t>
      </w:r>
      <w:r w:rsidRPr="00F27245">
        <w:rPr>
          <w:rFonts w:ascii="Times New Roman"/>
          <w:sz w:val="20"/>
          <w:szCs w:val="20"/>
          <w:lang w:bidi="hi-IN"/>
        </w:rPr>
        <w:t>, which constitute up to 3% of dry cannabis weight [12]</w:t>
      </w:r>
      <w:r w:rsidR="007C058E">
        <w:rPr>
          <w:rFonts w:ascii="Times New Roman"/>
          <w:sz w:val="20"/>
          <w:szCs w:val="20"/>
        </w:rPr>
        <w:t>,</w:t>
      </w:r>
      <w:r w:rsidR="007C058E" w:rsidRPr="00F27245">
        <w:rPr>
          <w:rFonts w:ascii="Times New Roman"/>
          <w:sz w:val="20"/>
          <w:szCs w:val="20"/>
          <w:lang w:bidi="hi-IN"/>
        </w:rPr>
        <w:t xml:space="preserve"> </w:t>
      </w:r>
      <w:r w:rsidRPr="00F27245">
        <w:rPr>
          <w:rFonts w:ascii="Times New Roman"/>
          <w:sz w:val="20"/>
          <w:szCs w:val="20"/>
          <w:lang w:bidi="hi-IN"/>
        </w:rPr>
        <w:t>[14]. These findings align with prior studies demonstrating that thermogravimetric methods like HMA conflate moisture loss with VOC evaporation, particularly in botanicals rich in heat-sensitive volatiles [15]</w:t>
      </w:r>
      <w:r w:rsidR="007C058E">
        <w:rPr>
          <w:rFonts w:ascii="Times New Roman"/>
          <w:sz w:val="20"/>
          <w:szCs w:val="20"/>
        </w:rPr>
        <w:t>,</w:t>
      </w:r>
      <w:r w:rsidR="007C058E" w:rsidRPr="00F27245">
        <w:rPr>
          <w:rFonts w:ascii="Times New Roman"/>
          <w:sz w:val="20"/>
          <w:szCs w:val="20"/>
          <w:lang w:bidi="hi-IN"/>
        </w:rPr>
        <w:t xml:space="preserve"> </w:t>
      </w:r>
      <w:r w:rsidRPr="00F27245">
        <w:rPr>
          <w:rFonts w:ascii="Times New Roman"/>
          <w:sz w:val="20"/>
          <w:szCs w:val="20"/>
          <w:lang w:bidi="hi-IN"/>
        </w:rPr>
        <w:t>[16].</w:t>
      </w:r>
    </w:p>
    <w:p w14:paraId="7A72CB77" w14:textId="77777777" w:rsidR="00F27245" w:rsidRPr="00F27245" w:rsidRDefault="00F27245" w:rsidP="009D6D00">
      <w:pPr>
        <w:spacing w:after="0" w:line="240" w:lineRule="auto"/>
        <w:ind w:firstLine="720"/>
        <w:jc w:val="both"/>
        <w:rPr>
          <w:rFonts w:ascii="Times New Roman"/>
          <w:sz w:val="20"/>
          <w:szCs w:val="20"/>
          <w:lang w:bidi="hi-IN"/>
        </w:rPr>
      </w:pPr>
    </w:p>
    <w:p w14:paraId="7BD7DEE4" w14:textId="71C90D6D" w:rsidR="00F27245" w:rsidRPr="00F27245" w:rsidRDefault="00F27245" w:rsidP="00837B0B">
      <w:pPr>
        <w:spacing w:after="0" w:line="240" w:lineRule="auto"/>
        <w:jc w:val="both"/>
        <w:rPr>
          <w:rFonts w:ascii="Times New Roman"/>
          <w:sz w:val="20"/>
          <w:szCs w:val="20"/>
          <w:lang w:bidi="hi-IN"/>
        </w:rPr>
      </w:pPr>
      <w:r w:rsidRPr="00F27245">
        <w:rPr>
          <w:rFonts w:ascii="Times New Roman"/>
          <w:sz w:val="20"/>
          <w:szCs w:val="20"/>
          <w:lang w:bidi="hi-IN"/>
        </w:rPr>
        <w:t>The statistical robustness of this divergence is underscored by non-overlapping 95% confidence intervals (HMA: 10.07–10.59%; DO: 6.63–7.11%), confirming that the methods measure distinct material properties. While the Pearson correlation coefficient (r = 0.59) indicates a moderate linear relationship, the regression equation</w:t>
      </w:r>
      <w:r w:rsidR="00B21218">
        <w:rPr>
          <w:rFonts w:ascii="Times New Roman"/>
          <w:sz w:val="20"/>
          <w:szCs w:val="20"/>
          <w:lang w:bidi="hi-IN"/>
        </w:rPr>
        <w:t xml:space="preserve"> h</w:t>
      </w:r>
      <w:r w:rsidR="00B21218" w:rsidRPr="00F27245">
        <w:rPr>
          <w:rFonts w:ascii="Times New Roman"/>
          <w:sz w:val="20"/>
          <w:szCs w:val="20"/>
          <w:lang w:bidi="hi-IN"/>
        </w:rPr>
        <w:t>ighlights</w:t>
      </w:r>
      <w:r w:rsidRPr="00F27245">
        <w:rPr>
          <w:rFonts w:ascii="Times New Roman"/>
          <w:sz w:val="20"/>
          <w:szCs w:val="20"/>
          <w:lang w:bidi="hi-IN"/>
        </w:rPr>
        <w:t xml:space="preserve"> a systematic bias, suggesting HMA values cannot be directly equated to DO results without correction</w:t>
      </w:r>
      <w:r w:rsidR="00B977BF">
        <w:rPr>
          <w:rFonts w:ascii="Times New Roman"/>
          <w:sz w:val="20"/>
          <w:szCs w:val="20"/>
          <w:lang w:bidi="hi-IN"/>
        </w:rPr>
        <w:t xml:space="preserve"> and thus cannot be considered as method equivalent to the DO</w:t>
      </w:r>
      <w:r w:rsidRPr="00F27245">
        <w:rPr>
          <w:rFonts w:ascii="Times New Roman"/>
          <w:sz w:val="20"/>
          <w:szCs w:val="20"/>
          <w:lang w:bidi="hi-IN"/>
        </w:rPr>
        <w:t xml:space="preserve"> [17], [18]. This aligns with agricultural studies where rapid moisture analyzers require crop-specific calibration to account for volatile solids [19]</w:t>
      </w:r>
      <w:r w:rsidR="007C058E">
        <w:rPr>
          <w:rFonts w:ascii="Times New Roman"/>
          <w:sz w:val="20"/>
          <w:szCs w:val="20"/>
        </w:rPr>
        <w:t>,</w:t>
      </w:r>
      <w:r w:rsidR="007C058E" w:rsidRPr="00F27245">
        <w:rPr>
          <w:rFonts w:ascii="Times New Roman"/>
          <w:sz w:val="20"/>
          <w:szCs w:val="20"/>
          <w:lang w:bidi="hi-IN"/>
        </w:rPr>
        <w:t xml:space="preserve"> </w:t>
      </w:r>
      <w:r w:rsidRPr="00F27245">
        <w:rPr>
          <w:rFonts w:ascii="Times New Roman"/>
          <w:sz w:val="20"/>
          <w:szCs w:val="20"/>
          <w:lang w:bidi="hi-IN"/>
        </w:rPr>
        <w:t>[20]. The HMA’s precision (RSD = 5.94% vs. DO’s 8.2</w:t>
      </w:r>
      <w:r w:rsidR="00B977BF">
        <w:rPr>
          <w:rFonts w:ascii="Times New Roman"/>
          <w:sz w:val="20"/>
          <w:szCs w:val="20"/>
          <w:lang w:bidi="hi-IN"/>
        </w:rPr>
        <w:t>5</w:t>
      </w:r>
      <w:r w:rsidRPr="00F27245">
        <w:rPr>
          <w:rFonts w:ascii="Times New Roman"/>
          <w:sz w:val="20"/>
          <w:szCs w:val="20"/>
          <w:lang w:bidi="hi-IN"/>
        </w:rPr>
        <w:t xml:space="preserve">%) and operational efficiency (&lt;20 minutes vs. 24 hours) make it advantageous for real-time </w:t>
      </w:r>
      <w:r w:rsidR="00B977BF">
        <w:rPr>
          <w:rFonts w:ascii="Times New Roman"/>
          <w:sz w:val="20"/>
          <w:szCs w:val="20"/>
          <w:lang w:bidi="hi-IN"/>
        </w:rPr>
        <w:t xml:space="preserve">In-Process quality control </w:t>
      </w:r>
      <w:r w:rsidRPr="00F27245">
        <w:rPr>
          <w:rFonts w:ascii="Times New Roman"/>
          <w:sz w:val="20"/>
          <w:szCs w:val="20"/>
          <w:lang w:bidi="hi-IN"/>
        </w:rPr>
        <w:t xml:space="preserve">monitoring, yet its overestimation poses risks in regulatory contexts where compliance with pharmacopeial thresholds </w:t>
      </w:r>
      <w:r w:rsidR="00B977BF" w:rsidRPr="00F27245">
        <w:rPr>
          <w:rFonts w:ascii="Times New Roman"/>
          <w:sz w:val="20"/>
          <w:szCs w:val="20"/>
          <w:lang w:bidi="hi-IN"/>
        </w:rPr>
        <w:t xml:space="preserve">is critical </w:t>
      </w:r>
      <w:r w:rsidRPr="00F27245">
        <w:rPr>
          <w:rFonts w:ascii="Times New Roman"/>
          <w:sz w:val="20"/>
          <w:szCs w:val="20"/>
          <w:lang w:bidi="hi-IN"/>
        </w:rPr>
        <w:t>(e.g.</w:t>
      </w:r>
      <w:r w:rsidR="00B977BF">
        <w:rPr>
          <w:rFonts w:ascii="Times New Roman"/>
          <w:sz w:val="20"/>
          <w:szCs w:val="20"/>
          <w:lang w:bidi="hi-IN"/>
        </w:rPr>
        <w:t xml:space="preserve"> </w:t>
      </w:r>
      <w:r w:rsidR="007407FD">
        <w:rPr>
          <w:rFonts w:ascii="Times New Roman"/>
          <w:sz w:val="20"/>
          <w:szCs w:val="20"/>
          <w:lang w:bidi="hi-IN"/>
        </w:rPr>
        <w:t>&lt;</w:t>
      </w:r>
      <w:r w:rsidRPr="00F27245">
        <w:rPr>
          <w:rFonts w:ascii="Times New Roman"/>
          <w:sz w:val="20"/>
          <w:szCs w:val="20"/>
          <w:lang w:bidi="hi-IN"/>
        </w:rPr>
        <w:t>12% MC</w:t>
      </w:r>
      <w:r w:rsidR="00B977BF">
        <w:rPr>
          <w:rFonts w:ascii="Times New Roman"/>
          <w:sz w:val="20"/>
          <w:szCs w:val="20"/>
          <w:lang w:bidi="hi-IN"/>
        </w:rPr>
        <w:t xml:space="preserve">; </w:t>
      </w:r>
      <w:proofErr w:type="spellStart"/>
      <w:r w:rsidR="00B977BF" w:rsidRPr="00F27245">
        <w:rPr>
          <w:rFonts w:ascii="Times New Roman"/>
          <w:sz w:val="20"/>
          <w:szCs w:val="20"/>
          <w:lang w:bidi="hi-IN"/>
        </w:rPr>
        <w:t>Ph.Eur</w:t>
      </w:r>
      <w:proofErr w:type="spellEnd"/>
      <w:r w:rsidR="00B977BF" w:rsidRPr="00F27245">
        <w:rPr>
          <w:rFonts w:ascii="Times New Roman"/>
          <w:sz w:val="20"/>
          <w:szCs w:val="20"/>
          <w:lang w:bidi="hi-IN"/>
        </w:rPr>
        <w:t>.</w:t>
      </w:r>
      <w:r w:rsidR="00B977BF">
        <w:rPr>
          <w:rFonts w:ascii="Times New Roman"/>
          <w:sz w:val="20"/>
          <w:szCs w:val="20"/>
          <w:lang w:bidi="hi-IN"/>
        </w:rPr>
        <w:t xml:space="preserve"> 2.2.32</w:t>
      </w:r>
      <w:r w:rsidRPr="00F27245">
        <w:rPr>
          <w:rFonts w:ascii="Times New Roman"/>
          <w:sz w:val="20"/>
          <w:szCs w:val="20"/>
          <w:lang w:bidi="hi-IN"/>
        </w:rPr>
        <w:t>) [21]</w:t>
      </w:r>
      <w:r w:rsidR="007C058E">
        <w:rPr>
          <w:rFonts w:ascii="Times New Roman"/>
          <w:sz w:val="20"/>
          <w:szCs w:val="20"/>
        </w:rPr>
        <w:t>,</w:t>
      </w:r>
      <w:r w:rsidR="007C058E" w:rsidRPr="00F27245">
        <w:rPr>
          <w:rFonts w:ascii="Times New Roman"/>
          <w:sz w:val="20"/>
          <w:szCs w:val="20"/>
          <w:lang w:bidi="hi-IN"/>
        </w:rPr>
        <w:t xml:space="preserve"> </w:t>
      </w:r>
      <w:r w:rsidRPr="00F27245">
        <w:rPr>
          <w:rFonts w:ascii="Times New Roman"/>
          <w:sz w:val="20"/>
          <w:szCs w:val="20"/>
          <w:lang w:bidi="hi-IN"/>
        </w:rPr>
        <w:t xml:space="preserve">[22]. For instance, a batch measuring </w:t>
      </w:r>
      <w:r w:rsidR="00B977BF">
        <w:rPr>
          <w:rFonts w:ascii="Times New Roman"/>
          <w:sz w:val="20"/>
          <w:szCs w:val="20"/>
          <w:lang w:bidi="hi-IN"/>
        </w:rPr>
        <w:t>≥</w:t>
      </w:r>
      <w:r w:rsidRPr="00F27245">
        <w:rPr>
          <w:rFonts w:ascii="Times New Roman"/>
          <w:sz w:val="20"/>
          <w:szCs w:val="20"/>
          <w:lang w:bidi="hi-IN"/>
        </w:rPr>
        <w:t>12%MC</w:t>
      </w:r>
      <w:r w:rsidR="00BF336B">
        <w:rPr>
          <w:rFonts w:ascii="Times New Roman"/>
          <w:sz w:val="20"/>
          <w:szCs w:val="20"/>
          <w:lang w:bidi="hi-IN"/>
        </w:rPr>
        <w:t xml:space="preserve"> with </w:t>
      </w:r>
      <w:r w:rsidR="00B977BF">
        <w:rPr>
          <w:rFonts w:ascii="Times New Roman"/>
          <w:sz w:val="20"/>
          <w:szCs w:val="20"/>
          <w:lang w:bidi="hi-IN"/>
        </w:rPr>
        <w:t>HMA</w:t>
      </w:r>
      <w:r w:rsidRPr="00F27245">
        <w:rPr>
          <w:rFonts w:ascii="Times New Roman"/>
          <w:sz w:val="20"/>
          <w:szCs w:val="20"/>
          <w:lang w:bidi="hi-IN"/>
        </w:rPr>
        <w:t xml:space="preserve"> likely exceeds the true pharmacopeial limit when adjusted for VOC loss, risking over-drying and terpene degradation, which compromises product quality [23]</w:t>
      </w:r>
      <w:r w:rsidR="007C058E">
        <w:rPr>
          <w:rFonts w:ascii="Times New Roman"/>
          <w:sz w:val="20"/>
          <w:szCs w:val="20"/>
        </w:rPr>
        <w:t>,</w:t>
      </w:r>
      <w:r w:rsidR="007C058E" w:rsidRPr="00F27245">
        <w:rPr>
          <w:rFonts w:ascii="Times New Roman"/>
          <w:sz w:val="20"/>
          <w:szCs w:val="20"/>
          <w:lang w:bidi="hi-IN"/>
        </w:rPr>
        <w:t xml:space="preserve"> </w:t>
      </w:r>
      <w:r w:rsidRPr="00F27245">
        <w:rPr>
          <w:rFonts w:ascii="Times New Roman"/>
          <w:sz w:val="20"/>
          <w:szCs w:val="20"/>
          <w:lang w:bidi="hi-IN"/>
        </w:rPr>
        <w:t>[24].</w:t>
      </w:r>
    </w:p>
    <w:p w14:paraId="238ED1B5" w14:textId="77777777" w:rsidR="00F27245" w:rsidRPr="00F27245" w:rsidRDefault="00F27245" w:rsidP="009D6D00">
      <w:pPr>
        <w:spacing w:after="0" w:line="240" w:lineRule="auto"/>
        <w:ind w:firstLine="720"/>
        <w:jc w:val="both"/>
        <w:rPr>
          <w:rFonts w:ascii="Times New Roman"/>
          <w:sz w:val="20"/>
          <w:szCs w:val="20"/>
          <w:lang w:bidi="hi-IN"/>
        </w:rPr>
      </w:pPr>
    </w:p>
    <w:p w14:paraId="390FD06A" w14:textId="3FD14D25" w:rsidR="00F27245" w:rsidRPr="00F27245" w:rsidRDefault="00714FEF" w:rsidP="00837B0B">
      <w:pPr>
        <w:spacing w:after="0" w:line="240" w:lineRule="auto"/>
        <w:jc w:val="both"/>
        <w:rPr>
          <w:rFonts w:ascii="Times New Roman"/>
          <w:sz w:val="20"/>
          <w:szCs w:val="20"/>
          <w:lang w:bidi="hi-IN"/>
        </w:rPr>
      </w:pPr>
      <w:r w:rsidRPr="00714FEF">
        <w:rPr>
          <w:rFonts w:ascii="Times New Roman"/>
          <w:sz w:val="20"/>
          <w:szCs w:val="20"/>
          <w:lang w:bidi="hi-IN"/>
        </w:rPr>
        <w:t xml:space="preserve">Analyst variability, assessed through independent measurements by two analysts, revealed no statistically significant difference in mean %MC for the first 16 samples (t = -1.47, p = 0.157) and consistent variances in the final 8 samples (Levene’s F = 0.18, p = 0.674). These findings indicate that any difference in HMA vs. DO readings is likely not </w:t>
      </w:r>
      <w:r w:rsidRPr="00714FEF">
        <w:rPr>
          <w:rFonts w:ascii="Times New Roman"/>
          <w:sz w:val="20"/>
          <w:szCs w:val="20"/>
          <w:lang w:bidi="hi-IN"/>
        </w:rPr>
        <w:lastRenderedPageBreak/>
        <w:t>driven by inconsistent application of the methods between analysts, but rather by other systematic factors.</w:t>
      </w:r>
      <w:r w:rsidR="00F27245" w:rsidRPr="00F27245">
        <w:rPr>
          <w:rFonts w:ascii="Times New Roman"/>
          <w:sz w:val="20"/>
          <w:szCs w:val="20"/>
          <w:lang w:bidi="hi-IN"/>
        </w:rPr>
        <w:t xml:space="preserve"> [25]</w:t>
      </w:r>
      <w:r w:rsidR="007C058E">
        <w:rPr>
          <w:rFonts w:ascii="Times New Roman"/>
          <w:sz w:val="20"/>
          <w:szCs w:val="20"/>
        </w:rPr>
        <w:t>,</w:t>
      </w:r>
      <w:r w:rsidR="007C058E" w:rsidRPr="00F27245">
        <w:rPr>
          <w:rFonts w:ascii="Times New Roman"/>
          <w:sz w:val="20"/>
          <w:szCs w:val="20"/>
          <w:lang w:bidi="hi-IN"/>
        </w:rPr>
        <w:t xml:space="preserve"> </w:t>
      </w:r>
      <w:r w:rsidR="00F27245" w:rsidRPr="00F27245">
        <w:rPr>
          <w:rFonts w:ascii="Times New Roman"/>
          <w:sz w:val="20"/>
          <w:szCs w:val="20"/>
          <w:lang w:bidi="hi-IN"/>
        </w:rPr>
        <w:t>[26]. These observations mirror pharmaceutical quality control paradigms, where operator training and protocol harmonization are essential even when statistical significance is absent [27]</w:t>
      </w:r>
      <w:r w:rsidR="007C058E">
        <w:rPr>
          <w:rFonts w:ascii="Times New Roman"/>
          <w:sz w:val="20"/>
          <w:szCs w:val="20"/>
        </w:rPr>
        <w:t>,</w:t>
      </w:r>
      <w:r w:rsidR="007C058E" w:rsidRPr="00F27245">
        <w:rPr>
          <w:rFonts w:ascii="Times New Roman"/>
          <w:sz w:val="20"/>
          <w:szCs w:val="20"/>
          <w:lang w:bidi="hi-IN"/>
        </w:rPr>
        <w:t xml:space="preserve"> </w:t>
      </w:r>
      <w:r w:rsidR="00F27245" w:rsidRPr="00F27245">
        <w:rPr>
          <w:rFonts w:ascii="Times New Roman"/>
          <w:sz w:val="20"/>
          <w:szCs w:val="20"/>
          <w:lang w:bidi="hi-IN"/>
        </w:rPr>
        <w:t>[28].</w:t>
      </w:r>
    </w:p>
    <w:p w14:paraId="2EBB4D2C" w14:textId="77777777" w:rsidR="00F27245" w:rsidRPr="00F27245" w:rsidRDefault="00F27245" w:rsidP="009D6D00">
      <w:pPr>
        <w:spacing w:after="0" w:line="240" w:lineRule="auto"/>
        <w:ind w:firstLine="720"/>
        <w:jc w:val="both"/>
        <w:rPr>
          <w:rFonts w:ascii="Times New Roman"/>
          <w:sz w:val="20"/>
          <w:szCs w:val="20"/>
          <w:lang w:bidi="hi-IN"/>
        </w:rPr>
      </w:pPr>
    </w:p>
    <w:p w14:paraId="628C6294" w14:textId="3BE9026F" w:rsidR="00F27245" w:rsidRPr="00F27245" w:rsidRDefault="00F27245" w:rsidP="00837B0B">
      <w:pPr>
        <w:spacing w:after="0" w:line="240" w:lineRule="auto"/>
        <w:jc w:val="both"/>
        <w:rPr>
          <w:rFonts w:ascii="Times New Roman"/>
          <w:sz w:val="20"/>
          <w:szCs w:val="20"/>
          <w:lang w:bidi="hi-IN"/>
        </w:rPr>
      </w:pPr>
      <w:r w:rsidRPr="00F27245">
        <w:rPr>
          <w:rFonts w:ascii="Times New Roman"/>
          <w:sz w:val="20"/>
          <w:szCs w:val="20"/>
          <w:lang w:bidi="hi-IN"/>
        </w:rPr>
        <w:t>The HMA’s ability to rapidly detect moisture trends is invaluable in high-throughput environments, particularly during curing, where real-time data can prevent microbial growth or over-drying [29]</w:t>
      </w:r>
      <w:r w:rsidR="00263498">
        <w:rPr>
          <w:rFonts w:ascii="Times New Roman"/>
          <w:sz w:val="20"/>
          <w:szCs w:val="20"/>
        </w:rPr>
        <w:t xml:space="preserve">, </w:t>
      </w:r>
      <w:r w:rsidRPr="00F27245">
        <w:rPr>
          <w:rFonts w:ascii="Times New Roman"/>
          <w:sz w:val="20"/>
          <w:szCs w:val="20"/>
          <w:lang w:bidi="hi-IN"/>
        </w:rPr>
        <w:t>[30]. However, its limitation as a standalone regulatory tool is evident in the universal failure of all 24 samples</w:t>
      </w:r>
      <w:r w:rsidR="00920B41">
        <w:rPr>
          <w:rFonts w:ascii="Times New Roman"/>
          <w:sz w:val="20"/>
          <w:szCs w:val="20"/>
          <w:lang w:bidi="hi-IN"/>
        </w:rPr>
        <w:t xml:space="preserve"> </w:t>
      </w:r>
      <w:r w:rsidR="00920B41" w:rsidRPr="00920B41">
        <w:rPr>
          <w:rFonts w:ascii="Times New Roman"/>
          <w:sz w:val="20"/>
          <w:szCs w:val="20"/>
          <w:lang w:bidi="hi-IN"/>
        </w:rPr>
        <w:t>(∆%MC &gt; 0.4%)</w:t>
      </w:r>
      <w:r w:rsidRPr="00F27245">
        <w:rPr>
          <w:rFonts w:ascii="Times New Roman"/>
          <w:sz w:val="20"/>
          <w:szCs w:val="20"/>
          <w:lang w:bidi="hi-IN"/>
        </w:rPr>
        <w:t xml:space="preserve"> to meet accuracy criteria. This necessitates a hybrid workflow: HMA for in-process </w:t>
      </w:r>
      <w:r w:rsidR="00F6777F">
        <w:rPr>
          <w:rFonts w:ascii="Times New Roman"/>
          <w:sz w:val="20"/>
          <w:szCs w:val="20"/>
          <w:lang w:bidi="hi-IN"/>
        </w:rPr>
        <w:t xml:space="preserve">quality control </w:t>
      </w:r>
      <w:r w:rsidRPr="00F27245">
        <w:rPr>
          <w:rFonts w:ascii="Times New Roman"/>
          <w:sz w:val="20"/>
          <w:szCs w:val="20"/>
          <w:lang w:bidi="hi-IN"/>
        </w:rPr>
        <w:t>checks and DO for final release testing—a strategy successfully employed in herbal drug manufacturing [31]</w:t>
      </w:r>
      <w:r w:rsidR="00263498">
        <w:rPr>
          <w:rFonts w:ascii="Times New Roman"/>
          <w:sz w:val="20"/>
          <w:szCs w:val="20"/>
        </w:rPr>
        <w:t xml:space="preserve">, </w:t>
      </w:r>
      <w:r w:rsidRPr="00F27245">
        <w:rPr>
          <w:rFonts w:ascii="Times New Roman"/>
          <w:sz w:val="20"/>
          <w:szCs w:val="20"/>
          <w:lang w:bidi="hi-IN"/>
        </w:rPr>
        <w:t>[32]. Such an approach balances efficiency with compliance, leveraging HMA’s speed while reserving DO’s specificity for critical quality milestones.</w:t>
      </w:r>
    </w:p>
    <w:p w14:paraId="511DB391" w14:textId="14D98B88" w:rsidR="00F27245" w:rsidRPr="00F27245" w:rsidRDefault="00F27245" w:rsidP="00837B0B">
      <w:pPr>
        <w:spacing w:after="0" w:line="240" w:lineRule="auto"/>
        <w:jc w:val="both"/>
        <w:rPr>
          <w:rFonts w:ascii="Times New Roman"/>
          <w:sz w:val="20"/>
          <w:szCs w:val="20"/>
          <w:lang w:bidi="hi-IN"/>
        </w:rPr>
      </w:pPr>
      <w:r w:rsidRPr="00F27245">
        <w:rPr>
          <w:rFonts w:ascii="Times New Roman"/>
          <w:sz w:val="20"/>
          <w:szCs w:val="20"/>
          <w:lang w:bidi="hi-IN"/>
        </w:rPr>
        <w:t>The broader implications of this study extend to botanical analysis, where method selection must account for matrix complexity. Cannabis’s heterogeneity—varied trichome density, moisture distribution, and VOC profiles—exacerbates measurement variability, particularly in larger samples (2.0g for HMA vs. 1.0g for DO) [33]</w:t>
      </w:r>
      <w:r w:rsidR="00263498">
        <w:rPr>
          <w:rFonts w:ascii="Times New Roman"/>
          <w:sz w:val="20"/>
          <w:szCs w:val="20"/>
        </w:rPr>
        <w:t xml:space="preserve">, </w:t>
      </w:r>
      <w:r w:rsidRPr="00F27245">
        <w:rPr>
          <w:rFonts w:ascii="Times New Roman"/>
          <w:sz w:val="20"/>
          <w:szCs w:val="20"/>
          <w:lang w:bidi="hi-IN"/>
        </w:rPr>
        <w:t>[34]. Smaller samples, as used in the DO method, mitigate this by ensuring uniform heat penetration, whereas larger samples risk incomplete drying in resin-rich regions [35]</w:t>
      </w:r>
      <w:r w:rsidR="00263498">
        <w:rPr>
          <w:rFonts w:ascii="Times New Roman"/>
          <w:sz w:val="20"/>
          <w:szCs w:val="20"/>
        </w:rPr>
        <w:t xml:space="preserve">, </w:t>
      </w:r>
      <w:r w:rsidRPr="00F27245">
        <w:rPr>
          <w:rFonts w:ascii="Times New Roman"/>
          <w:sz w:val="20"/>
          <w:szCs w:val="20"/>
          <w:lang w:bidi="hi-IN"/>
        </w:rPr>
        <w:t>[36]. This aligns with research on plant material drying, where sample size inversely correlates with measurement consistency [37]</w:t>
      </w:r>
      <w:r w:rsidR="00263498">
        <w:rPr>
          <w:rFonts w:ascii="Times New Roman"/>
          <w:sz w:val="20"/>
          <w:szCs w:val="20"/>
        </w:rPr>
        <w:t xml:space="preserve">, </w:t>
      </w:r>
      <w:r w:rsidRPr="00F27245">
        <w:rPr>
          <w:rFonts w:ascii="Times New Roman"/>
          <w:sz w:val="20"/>
          <w:szCs w:val="20"/>
          <w:lang w:bidi="hi-IN"/>
        </w:rPr>
        <w:t>[38].</w:t>
      </w:r>
    </w:p>
    <w:p w14:paraId="7B7EB36A" w14:textId="77777777" w:rsidR="00F27245" w:rsidRPr="00F27245" w:rsidRDefault="00F27245" w:rsidP="009D6D00">
      <w:pPr>
        <w:spacing w:after="0" w:line="240" w:lineRule="auto"/>
        <w:ind w:firstLine="720"/>
        <w:jc w:val="both"/>
        <w:rPr>
          <w:rFonts w:ascii="Times New Roman"/>
          <w:sz w:val="20"/>
          <w:szCs w:val="20"/>
          <w:lang w:bidi="hi-IN"/>
        </w:rPr>
      </w:pPr>
    </w:p>
    <w:p w14:paraId="395A2911" w14:textId="555F9FB5" w:rsidR="00CF47C4" w:rsidRPr="00A516D0" w:rsidRDefault="00F27245" w:rsidP="00837B0B">
      <w:pPr>
        <w:spacing w:after="0" w:line="240" w:lineRule="auto"/>
        <w:jc w:val="both"/>
        <w:rPr>
          <w:rFonts w:ascii="Times New Roman"/>
          <w:sz w:val="20"/>
          <w:szCs w:val="20"/>
        </w:rPr>
      </w:pPr>
      <w:r w:rsidRPr="00F27245">
        <w:rPr>
          <w:rFonts w:ascii="Times New Roman"/>
          <w:sz w:val="20"/>
          <w:szCs w:val="20"/>
          <w:lang w:bidi="hi-IN"/>
        </w:rPr>
        <w:t>Furthermore, the role of water binding states cannot be overlooked. The DO method’s vacuum environment and low temperature selectively remove free water, while HMA’s higher temperature desorbs bound water integrated into cellulose and proteins [39]</w:t>
      </w:r>
      <w:r w:rsidR="00263498">
        <w:rPr>
          <w:rFonts w:ascii="Times New Roman"/>
          <w:sz w:val="20"/>
          <w:szCs w:val="20"/>
        </w:rPr>
        <w:t>,</w:t>
      </w:r>
      <w:r w:rsidR="00263498" w:rsidRPr="00F27245">
        <w:rPr>
          <w:rFonts w:ascii="Times New Roman"/>
          <w:sz w:val="20"/>
          <w:szCs w:val="20"/>
          <w:lang w:bidi="hi-IN"/>
        </w:rPr>
        <w:t xml:space="preserve"> </w:t>
      </w:r>
      <w:r w:rsidRPr="00F27245">
        <w:rPr>
          <w:rFonts w:ascii="Times New Roman"/>
          <w:sz w:val="20"/>
          <w:szCs w:val="20"/>
          <w:lang w:bidi="hi-IN"/>
        </w:rPr>
        <w:t>[40]. This differential extraction explains the HMA’s elevated readings and underscores the need for method transparency in reporting “total volatiles” versus “free moisture” [41]</w:t>
      </w:r>
      <w:r w:rsidR="00263498">
        <w:rPr>
          <w:rFonts w:ascii="Times New Roman"/>
          <w:sz w:val="20"/>
          <w:szCs w:val="20"/>
        </w:rPr>
        <w:t xml:space="preserve">, </w:t>
      </w:r>
      <w:r w:rsidRPr="00F27245">
        <w:rPr>
          <w:rFonts w:ascii="Times New Roman"/>
          <w:sz w:val="20"/>
          <w:szCs w:val="20"/>
          <w:lang w:bidi="hi-IN"/>
        </w:rPr>
        <w:t>[42]. Regulatory bodies must recognize these distinctions to avoid conflating safety thresholds (e.g., microbial growth linked to free water) with product quality metrics (e.g., terpene retention) [43]</w:t>
      </w:r>
      <w:r w:rsidR="00263498">
        <w:rPr>
          <w:rFonts w:ascii="Times New Roman"/>
          <w:sz w:val="20"/>
          <w:szCs w:val="20"/>
        </w:rPr>
        <w:t xml:space="preserve">, </w:t>
      </w:r>
      <w:r w:rsidRPr="00F27245">
        <w:rPr>
          <w:rFonts w:ascii="Times New Roman"/>
          <w:sz w:val="20"/>
          <w:szCs w:val="20"/>
          <w:lang w:bidi="hi-IN"/>
        </w:rPr>
        <w:t>[44].</w:t>
      </w:r>
    </w:p>
    <w:p w14:paraId="52E65401" w14:textId="77777777" w:rsidR="00CF47C4" w:rsidRPr="00A516D0" w:rsidRDefault="00CF47C4" w:rsidP="009D6D00">
      <w:pPr>
        <w:spacing w:after="0" w:line="240" w:lineRule="auto"/>
        <w:jc w:val="both"/>
        <w:rPr>
          <w:rFonts w:ascii="Times New Roman"/>
          <w:sz w:val="20"/>
          <w:szCs w:val="20"/>
        </w:rPr>
      </w:pPr>
    </w:p>
    <w:p w14:paraId="69319A9B" w14:textId="09B0C94A" w:rsidR="00CF47C4" w:rsidRPr="00A516D0" w:rsidRDefault="008A7684" w:rsidP="006A31B5">
      <w:pPr>
        <w:pStyle w:val="ListParagraph"/>
        <w:numPr>
          <w:ilvl w:val="0"/>
          <w:numId w:val="5"/>
        </w:numPr>
        <w:spacing w:after="0" w:line="240" w:lineRule="auto"/>
        <w:ind w:left="360" w:hanging="360"/>
        <w:jc w:val="center"/>
        <w:rPr>
          <w:rFonts w:ascii="Times New Roman"/>
          <w:b/>
          <w:sz w:val="20"/>
          <w:szCs w:val="20"/>
        </w:rPr>
      </w:pPr>
      <w:bookmarkStart w:id="2" w:name="_Hlk191918926"/>
      <w:r w:rsidRPr="00A516D0">
        <w:rPr>
          <w:rFonts w:ascii="Times New Roman"/>
          <w:b/>
          <w:szCs w:val="20"/>
        </w:rPr>
        <w:t>Conclusion</w:t>
      </w:r>
      <w:bookmarkEnd w:id="2"/>
    </w:p>
    <w:p w14:paraId="4AA2DF24" w14:textId="1DCD7BB2" w:rsidR="00F27245" w:rsidRPr="00F27245" w:rsidRDefault="00F27245" w:rsidP="009D6D00">
      <w:pPr>
        <w:spacing w:after="0" w:line="240" w:lineRule="auto"/>
        <w:ind w:firstLine="720"/>
        <w:jc w:val="both"/>
        <w:rPr>
          <w:rFonts w:ascii="Times New Roman"/>
          <w:sz w:val="20"/>
          <w:szCs w:val="20"/>
        </w:rPr>
      </w:pPr>
      <w:r w:rsidRPr="00F27245">
        <w:rPr>
          <w:rFonts w:ascii="Times New Roman"/>
          <w:sz w:val="20"/>
          <w:szCs w:val="20"/>
        </w:rPr>
        <w:t xml:space="preserve">This study underscores the critical trade-offs between analytical precision, operational efficiency, and regulatory compliance in moisture determination for Cannabis sativa L. The Halogen Moisture Analyzer (HMA) method, while offering rapid results and superior precision (RSD = 5.94%), systematically overestimates moisture content by 3.46% compared to the pharmacopeial Drying Oven (DO) method due to the volatilization of terpenes and other low-boiling-point compounds at 105°C. This discrepancy highlights the importance of distinguishing between total volatiles (HMA) and free moisture (DO) in cannabis quality control, particularly in regulatory contexts where compliance with pharmacopeial thresholds (e.g. </w:t>
      </w:r>
      <w:proofErr w:type="spellStart"/>
      <w:r w:rsidRPr="00F27245">
        <w:rPr>
          <w:rFonts w:ascii="Times New Roman"/>
          <w:sz w:val="20"/>
          <w:szCs w:val="20"/>
        </w:rPr>
        <w:t>Ph.Eur</w:t>
      </w:r>
      <w:proofErr w:type="spellEnd"/>
      <w:r w:rsidRPr="00F27245">
        <w:rPr>
          <w:rFonts w:ascii="Times New Roman"/>
          <w:sz w:val="20"/>
          <w:szCs w:val="20"/>
        </w:rPr>
        <w:t xml:space="preserve">. </w:t>
      </w:r>
      <w:r w:rsidR="00F92D69">
        <w:rPr>
          <w:rFonts w:ascii="Times New Roman"/>
          <w:sz w:val="20"/>
          <w:szCs w:val="20"/>
        </w:rPr>
        <w:t>&lt;</w:t>
      </w:r>
      <w:r w:rsidRPr="00F27245">
        <w:rPr>
          <w:rFonts w:ascii="Times New Roman"/>
          <w:sz w:val="20"/>
          <w:szCs w:val="20"/>
        </w:rPr>
        <w:t>12% MC) is paramount.</w:t>
      </w:r>
    </w:p>
    <w:p w14:paraId="65573FAB" w14:textId="77777777" w:rsidR="00F27245" w:rsidRPr="00F27245" w:rsidRDefault="00F27245" w:rsidP="009D6D00">
      <w:pPr>
        <w:spacing w:after="0" w:line="240" w:lineRule="auto"/>
        <w:jc w:val="both"/>
        <w:rPr>
          <w:rFonts w:ascii="Times New Roman"/>
          <w:sz w:val="20"/>
          <w:szCs w:val="20"/>
        </w:rPr>
      </w:pPr>
    </w:p>
    <w:p w14:paraId="5F3269EC" w14:textId="52C8F456" w:rsidR="00F27245" w:rsidRPr="00F27245" w:rsidRDefault="00F27245" w:rsidP="00837B0B">
      <w:pPr>
        <w:spacing w:after="0" w:line="240" w:lineRule="auto"/>
        <w:jc w:val="both"/>
        <w:rPr>
          <w:rFonts w:ascii="Times New Roman"/>
          <w:sz w:val="20"/>
          <w:szCs w:val="20"/>
        </w:rPr>
      </w:pPr>
      <w:r w:rsidRPr="00F27245">
        <w:rPr>
          <w:rFonts w:ascii="Times New Roman"/>
          <w:sz w:val="20"/>
          <w:szCs w:val="20"/>
        </w:rPr>
        <w:t xml:space="preserve">The hybrid workflow proposed in this study—leveraging HMA for real-time process monitoring and reserving DO for final compliance testing—offers a pragmatic solution to balance speed and accuracy. This approach aligns with ISO 17025 guidelines for herbal drug manufacturing, where method suitability is </w:t>
      </w:r>
      <w:r w:rsidR="00A133EF" w:rsidRPr="00F27245">
        <w:rPr>
          <w:rFonts w:ascii="Times New Roman"/>
          <w:sz w:val="20"/>
          <w:szCs w:val="20"/>
        </w:rPr>
        <w:t>context dependent</w:t>
      </w:r>
      <w:r w:rsidRPr="00F27245">
        <w:rPr>
          <w:rFonts w:ascii="Times New Roman"/>
          <w:sz w:val="20"/>
          <w:szCs w:val="20"/>
        </w:rPr>
        <w:t>. Furthermore, the findings emphasize the need for method-specific calibration to account for matrix complexity, particularly in heterogeneous botanicals like cannabis, where sample size and water binding states significantly influence measurement outcomes.</w:t>
      </w:r>
    </w:p>
    <w:p w14:paraId="2C1664AB" w14:textId="77777777" w:rsidR="00F27245" w:rsidRPr="00F27245" w:rsidRDefault="00F27245" w:rsidP="009D6D00">
      <w:pPr>
        <w:spacing w:after="0" w:line="240" w:lineRule="auto"/>
        <w:jc w:val="both"/>
        <w:rPr>
          <w:rFonts w:ascii="Times New Roman"/>
          <w:sz w:val="20"/>
          <w:szCs w:val="20"/>
        </w:rPr>
      </w:pPr>
    </w:p>
    <w:p w14:paraId="7220B71B" w14:textId="2F186BBE" w:rsidR="00F27245" w:rsidRPr="004704D0" w:rsidRDefault="00F27245" w:rsidP="00837B0B">
      <w:pPr>
        <w:spacing w:after="0" w:line="240" w:lineRule="auto"/>
        <w:jc w:val="both"/>
        <w:rPr>
          <w:rFonts w:ascii="Times New Roman"/>
          <w:sz w:val="20"/>
          <w:szCs w:val="20"/>
        </w:rPr>
      </w:pPr>
      <w:r w:rsidRPr="00F27245">
        <w:rPr>
          <w:rFonts w:ascii="Times New Roman"/>
          <w:sz w:val="20"/>
          <w:szCs w:val="20"/>
        </w:rPr>
        <w:t>Future research should focus on developing VOC-specific correction models for HMA measurements, integrating advanced analytical techniques such as gas chromatography-mass spectrometry (GC-MS) to quantify terpene loss and refine moisture determination protocols. Additionally, the adoption of non-destructive methods like near-infrared (NIR) spectroscopy could bridge the gap between rapid analysis and regulatory precision, preserving both efficiency and product quality</w:t>
      </w:r>
      <w:r w:rsidRPr="004704D0">
        <w:rPr>
          <w:rFonts w:ascii="Times New Roman"/>
          <w:sz w:val="20"/>
          <w:szCs w:val="20"/>
        </w:rPr>
        <w:t>.</w:t>
      </w:r>
    </w:p>
    <w:p w14:paraId="6C1D6F7B" w14:textId="77777777" w:rsidR="00F27245" w:rsidRPr="00F27245" w:rsidRDefault="00F27245" w:rsidP="009D6D00">
      <w:pPr>
        <w:spacing w:after="0" w:line="240" w:lineRule="auto"/>
        <w:jc w:val="both"/>
        <w:rPr>
          <w:rFonts w:ascii="Times New Roman"/>
          <w:sz w:val="20"/>
          <w:szCs w:val="20"/>
        </w:rPr>
      </w:pPr>
    </w:p>
    <w:p w14:paraId="2F0509E5" w14:textId="245B5FBC" w:rsidR="00CF47C4" w:rsidRPr="00A516D0" w:rsidRDefault="00F27245" w:rsidP="00837B0B">
      <w:pPr>
        <w:spacing w:after="0" w:line="240" w:lineRule="auto"/>
        <w:jc w:val="both"/>
        <w:rPr>
          <w:rFonts w:ascii="Times New Roman"/>
          <w:sz w:val="20"/>
          <w:szCs w:val="20"/>
        </w:rPr>
      </w:pPr>
      <w:r w:rsidRPr="00F27245">
        <w:rPr>
          <w:rFonts w:ascii="Times New Roman"/>
          <w:sz w:val="20"/>
          <w:szCs w:val="20"/>
        </w:rPr>
        <w:t>In conclusion, while the HMA method is not a pharmacopeial substitute,</w:t>
      </w:r>
      <w:r w:rsidR="00E43880">
        <w:rPr>
          <w:rFonts w:ascii="Times New Roman"/>
          <w:sz w:val="20"/>
          <w:szCs w:val="20"/>
        </w:rPr>
        <w:t xml:space="preserve"> and cannot be said that the method is an equivalent to the DO </w:t>
      </w:r>
      <w:r w:rsidR="009336C9">
        <w:rPr>
          <w:rFonts w:ascii="Times New Roman"/>
          <w:sz w:val="20"/>
          <w:szCs w:val="20"/>
        </w:rPr>
        <w:t xml:space="preserve">method, </w:t>
      </w:r>
      <w:r w:rsidR="009336C9" w:rsidRPr="00F27245">
        <w:rPr>
          <w:rFonts w:ascii="Times New Roman"/>
          <w:sz w:val="20"/>
          <w:szCs w:val="20"/>
        </w:rPr>
        <w:t>its</w:t>
      </w:r>
      <w:r w:rsidRPr="00F27245">
        <w:rPr>
          <w:rFonts w:ascii="Times New Roman"/>
          <w:sz w:val="20"/>
          <w:szCs w:val="20"/>
        </w:rPr>
        <w:t xml:space="preserve"> integration into cannabis quality systems offers significant operational advantages. By adopting a hybrid workflow and advancing method-specific calibration, cannabis producers can achieve a balance between regulatory compliance and production efficiency, ensuring both product safety and therapeutic efficacy</w:t>
      </w:r>
      <w:r w:rsidR="00A261F8" w:rsidRPr="00A261F8">
        <w:rPr>
          <w:rFonts w:ascii="Times New Roman"/>
          <w:sz w:val="20"/>
          <w:szCs w:val="20"/>
        </w:rPr>
        <w:t>.</w:t>
      </w:r>
    </w:p>
    <w:p w14:paraId="5141845F" w14:textId="77777777" w:rsidR="004704D0" w:rsidRDefault="004704D0" w:rsidP="009D6D00">
      <w:pPr>
        <w:spacing w:after="0" w:line="240" w:lineRule="auto"/>
        <w:ind w:left="360" w:hanging="360"/>
        <w:jc w:val="both"/>
        <w:rPr>
          <w:rFonts w:ascii="Times New Roman"/>
          <w:b/>
          <w:szCs w:val="20"/>
        </w:rPr>
      </w:pPr>
    </w:p>
    <w:p w14:paraId="44F620E5" w14:textId="77777777" w:rsidR="00C24A37" w:rsidRDefault="00C24A37" w:rsidP="009D6D00">
      <w:pPr>
        <w:spacing w:after="0" w:line="240" w:lineRule="auto"/>
        <w:ind w:left="360" w:hanging="360"/>
        <w:jc w:val="both"/>
        <w:rPr>
          <w:rFonts w:ascii="Times New Roman"/>
          <w:b/>
          <w:szCs w:val="20"/>
        </w:rPr>
      </w:pPr>
    </w:p>
    <w:p w14:paraId="3757B93C" w14:textId="77777777" w:rsidR="00C24A37" w:rsidRDefault="00C24A37" w:rsidP="009D6D00">
      <w:pPr>
        <w:spacing w:after="0" w:line="240" w:lineRule="auto"/>
        <w:ind w:left="360" w:hanging="360"/>
        <w:jc w:val="both"/>
        <w:rPr>
          <w:rFonts w:ascii="Times New Roman"/>
          <w:b/>
          <w:szCs w:val="20"/>
        </w:rPr>
      </w:pPr>
    </w:p>
    <w:p w14:paraId="6AF882FA" w14:textId="77777777" w:rsidR="00C24A37" w:rsidRDefault="00C24A37" w:rsidP="009D6D00">
      <w:pPr>
        <w:spacing w:after="0" w:line="240" w:lineRule="auto"/>
        <w:ind w:left="360" w:hanging="360"/>
        <w:jc w:val="both"/>
        <w:rPr>
          <w:rFonts w:ascii="Times New Roman"/>
          <w:b/>
          <w:szCs w:val="20"/>
        </w:rPr>
      </w:pPr>
    </w:p>
    <w:p w14:paraId="34A68043" w14:textId="7A7AD09F" w:rsidR="0087479F" w:rsidRDefault="0087479F" w:rsidP="0087479F">
      <w:pPr>
        <w:spacing w:after="0" w:line="240" w:lineRule="auto"/>
        <w:ind w:left="360" w:hanging="360"/>
        <w:jc w:val="center"/>
        <w:rPr>
          <w:rFonts w:ascii="Times New Roman"/>
          <w:b/>
          <w:szCs w:val="20"/>
        </w:rPr>
      </w:pPr>
      <w:r w:rsidRPr="0087479F">
        <w:rPr>
          <w:rFonts w:ascii="Times New Roman"/>
          <w:b/>
          <w:szCs w:val="20"/>
        </w:rPr>
        <w:lastRenderedPageBreak/>
        <w:t>V</w:t>
      </w:r>
      <w:r>
        <w:rPr>
          <w:rFonts w:ascii="Times New Roman"/>
          <w:b/>
          <w:szCs w:val="20"/>
        </w:rPr>
        <w:t>I</w:t>
      </w:r>
      <w:r w:rsidRPr="0087479F">
        <w:rPr>
          <w:rFonts w:ascii="Times New Roman"/>
          <w:b/>
          <w:szCs w:val="20"/>
        </w:rPr>
        <w:t>.</w:t>
      </w:r>
      <w:r w:rsidRPr="0087479F">
        <w:rPr>
          <w:rFonts w:ascii="Times New Roman"/>
          <w:b/>
          <w:szCs w:val="20"/>
        </w:rPr>
        <w:tab/>
        <w:t>Acknowledgment</w:t>
      </w:r>
    </w:p>
    <w:p w14:paraId="55B0DDAD" w14:textId="0C741B70" w:rsidR="00646387" w:rsidRPr="00646387" w:rsidRDefault="00646387" w:rsidP="00646387">
      <w:pPr>
        <w:spacing w:after="0" w:line="240" w:lineRule="auto"/>
        <w:ind w:firstLine="720"/>
        <w:jc w:val="both"/>
        <w:rPr>
          <w:rFonts w:ascii="Times New Roman"/>
          <w:sz w:val="20"/>
          <w:szCs w:val="20"/>
        </w:rPr>
      </w:pPr>
      <w:r w:rsidRPr="00646387">
        <w:rPr>
          <w:rFonts w:ascii="Times New Roman"/>
          <w:sz w:val="20"/>
          <w:szCs w:val="20"/>
        </w:rPr>
        <w:t xml:space="preserve">I extend my profound gratitude to CEO Stephan </w:t>
      </w:r>
      <w:proofErr w:type="spellStart"/>
      <w:r w:rsidRPr="00646387">
        <w:rPr>
          <w:rFonts w:ascii="Times New Roman"/>
          <w:sz w:val="20"/>
          <w:szCs w:val="20"/>
        </w:rPr>
        <w:t>Vilmeus</w:t>
      </w:r>
      <w:proofErr w:type="spellEnd"/>
      <w:r w:rsidRPr="00646387">
        <w:rPr>
          <w:rFonts w:ascii="Times New Roman"/>
          <w:sz w:val="20"/>
          <w:szCs w:val="20"/>
        </w:rPr>
        <w:t xml:space="preserve"> Anton van </w:t>
      </w:r>
      <w:proofErr w:type="spellStart"/>
      <w:r w:rsidRPr="00646387">
        <w:rPr>
          <w:rFonts w:ascii="Times New Roman"/>
          <w:sz w:val="20"/>
          <w:szCs w:val="20"/>
        </w:rPr>
        <w:t>Gerven</w:t>
      </w:r>
      <w:proofErr w:type="spellEnd"/>
      <w:r w:rsidRPr="00646387">
        <w:rPr>
          <w:rFonts w:ascii="Times New Roman"/>
          <w:sz w:val="20"/>
          <w:szCs w:val="20"/>
        </w:rPr>
        <w:t xml:space="preserve"> for his exceptional mentorship, leadership, and unwavering support throughout this research. His guidance, generosity, and insight were instrumental in shaping my development as a researcher, and his example of integrity and kindness continues to inspire </w:t>
      </w:r>
      <w:r w:rsidR="00856472" w:rsidRPr="00646387">
        <w:rPr>
          <w:rFonts w:ascii="Times New Roman"/>
          <w:sz w:val="20"/>
          <w:szCs w:val="20"/>
        </w:rPr>
        <w:t>me.</w:t>
      </w:r>
    </w:p>
    <w:p w14:paraId="52091016" w14:textId="77777777" w:rsidR="00646387" w:rsidRDefault="00646387" w:rsidP="0054642A">
      <w:pPr>
        <w:spacing w:after="0" w:line="240" w:lineRule="auto"/>
        <w:ind w:left="360" w:hanging="360"/>
        <w:jc w:val="center"/>
        <w:rPr>
          <w:rFonts w:ascii="Times New Roman"/>
          <w:b/>
          <w:szCs w:val="20"/>
        </w:rPr>
      </w:pPr>
    </w:p>
    <w:p w14:paraId="546B1D3E" w14:textId="695DE437" w:rsidR="00CF47C4" w:rsidRPr="00A516D0" w:rsidRDefault="008A7684" w:rsidP="0054642A">
      <w:pPr>
        <w:spacing w:after="0" w:line="240" w:lineRule="auto"/>
        <w:ind w:left="360" w:hanging="360"/>
        <w:jc w:val="center"/>
        <w:rPr>
          <w:rFonts w:ascii="Times New Roman"/>
          <w:b/>
          <w:szCs w:val="20"/>
        </w:rPr>
      </w:pPr>
      <w:r w:rsidRPr="00A516D0">
        <w:rPr>
          <w:rFonts w:ascii="Times New Roman"/>
          <w:b/>
          <w:szCs w:val="20"/>
        </w:rPr>
        <w:t>References</w:t>
      </w:r>
    </w:p>
    <w:p w14:paraId="0E7FA953" w14:textId="67DF58E1"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European Directorate for the Quality of Medicines &amp; HealthCare, European Pharmacopoeia, 11th ed. Strasbourg: EDQM, 2023.  </w:t>
      </w:r>
    </w:p>
    <w:p w14:paraId="528F9F08" w14:textId="7E619437"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Mettler-Toledo AG, “Measuring moisture in cannabis flower: Fast results with moisture </w:t>
      </w:r>
      <w:proofErr w:type="spellStart"/>
      <w:r w:rsidRPr="00DB3BAD">
        <w:rPr>
          <w:rFonts w:ascii="Times New Roman"/>
          <w:sz w:val="16"/>
          <w:szCs w:val="20"/>
          <w:lang w:val="en-IN"/>
        </w:rPr>
        <w:t>analyzers</w:t>
      </w:r>
      <w:proofErr w:type="spellEnd"/>
      <w:r w:rsidRPr="00DB3BAD">
        <w:rPr>
          <w:rFonts w:ascii="Times New Roman"/>
          <w:sz w:val="16"/>
          <w:szCs w:val="20"/>
          <w:lang w:val="en-IN"/>
        </w:rPr>
        <w:t xml:space="preserve">,” </w:t>
      </w:r>
      <w:proofErr w:type="spellStart"/>
      <w:r w:rsidRPr="00DB3BAD">
        <w:rPr>
          <w:rFonts w:ascii="Times New Roman"/>
          <w:sz w:val="16"/>
          <w:szCs w:val="20"/>
          <w:lang w:val="en-IN"/>
        </w:rPr>
        <w:t>Greifensee</w:t>
      </w:r>
      <w:proofErr w:type="spellEnd"/>
      <w:r w:rsidRPr="00DB3BAD">
        <w:rPr>
          <w:rFonts w:ascii="Times New Roman"/>
          <w:sz w:val="16"/>
          <w:szCs w:val="20"/>
          <w:lang w:val="en-IN"/>
        </w:rPr>
        <w:t xml:space="preserve">, Switzerland, 2024.  </w:t>
      </w:r>
    </w:p>
    <w:p w14:paraId="6AD4D37D" w14:textId="007FF214"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K. E. </w:t>
      </w:r>
      <w:proofErr w:type="spellStart"/>
      <w:r w:rsidRPr="00DB3BAD">
        <w:rPr>
          <w:rFonts w:ascii="Times New Roman"/>
          <w:sz w:val="16"/>
          <w:szCs w:val="20"/>
          <w:lang w:val="en-IN"/>
        </w:rPr>
        <w:t>Ileleji</w:t>
      </w:r>
      <w:proofErr w:type="spellEnd"/>
      <w:r w:rsidRPr="00DB3BAD">
        <w:rPr>
          <w:rFonts w:ascii="Times New Roman"/>
          <w:sz w:val="16"/>
          <w:szCs w:val="20"/>
          <w:lang w:val="en-IN"/>
        </w:rPr>
        <w:t xml:space="preserve"> et al., “Comparison of standard moisture loss-on-drying methods for the determination of moisture content of corn distillers dried grains with </w:t>
      </w:r>
      <w:proofErr w:type="spellStart"/>
      <w:r w:rsidRPr="00DB3BAD">
        <w:rPr>
          <w:rFonts w:ascii="Times New Roman"/>
          <w:sz w:val="16"/>
          <w:szCs w:val="20"/>
          <w:lang w:val="en-IN"/>
        </w:rPr>
        <w:t>solubles</w:t>
      </w:r>
      <w:proofErr w:type="spellEnd"/>
      <w:r w:rsidRPr="00DB3BAD">
        <w:rPr>
          <w:rFonts w:ascii="Times New Roman"/>
          <w:sz w:val="16"/>
          <w:szCs w:val="20"/>
          <w:lang w:val="en-IN"/>
        </w:rPr>
        <w:t xml:space="preserve">,” J. AOAC Int., vol. 93, no. 3, pp. 825–832, 2010.  </w:t>
      </w:r>
    </w:p>
    <w:p w14:paraId="01C25D99" w14:textId="4776928D"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A. </w:t>
      </w:r>
      <w:proofErr w:type="spellStart"/>
      <w:r w:rsidRPr="00DB3BAD">
        <w:rPr>
          <w:rFonts w:ascii="Times New Roman"/>
          <w:sz w:val="16"/>
          <w:szCs w:val="20"/>
          <w:lang w:val="en-IN"/>
        </w:rPr>
        <w:t>Kwaśnica</w:t>
      </w:r>
      <w:proofErr w:type="spellEnd"/>
      <w:r w:rsidRPr="00DB3BAD">
        <w:rPr>
          <w:rFonts w:ascii="Times New Roman"/>
          <w:sz w:val="16"/>
          <w:szCs w:val="20"/>
          <w:lang w:val="en-IN"/>
        </w:rPr>
        <w:t xml:space="preserve"> et al., “Volatile composition and sensory properties as quality attributes of fresh and dried hemp flowers (Cannabis sativa L.),” Foods, vol. 9, no. 8, p. 1120, 2020.  </w:t>
      </w:r>
    </w:p>
    <w:p w14:paraId="188D5B60" w14:textId="2AE10849"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E. M. Russo, “Taming THC: Potential cannabis synergy and </w:t>
      </w:r>
      <w:proofErr w:type="spellStart"/>
      <w:r w:rsidRPr="00DB3BAD">
        <w:rPr>
          <w:rFonts w:ascii="Times New Roman"/>
          <w:sz w:val="16"/>
          <w:szCs w:val="20"/>
          <w:lang w:val="en-IN"/>
        </w:rPr>
        <w:t>phytocannabinoid</w:t>
      </w:r>
      <w:proofErr w:type="spellEnd"/>
      <w:r w:rsidRPr="00DB3BAD">
        <w:rPr>
          <w:rFonts w:ascii="Times New Roman"/>
          <w:sz w:val="16"/>
          <w:szCs w:val="20"/>
          <w:lang w:val="en-IN"/>
        </w:rPr>
        <w:t xml:space="preserve">-terpenoid entourage effects,” Br. J. </w:t>
      </w:r>
      <w:proofErr w:type="spellStart"/>
      <w:r w:rsidRPr="00DB3BAD">
        <w:rPr>
          <w:rFonts w:ascii="Times New Roman"/>
          <w:sz w:val="16"/>
          <w:szCs w:val="20"/>
          <w:lang w:val="en-IN"/>
        </w:rPr>
        <w:t>Pharmacol</w:t>
      </w:r>
      <w:proofErr w:type="spellEnd"/>
      <w:r w:rsidRPr="00DB3BAD">
        <w:rPr>
          <w:rFonts w:ascii="Times New Roman"/>
          <w:sz w:val="16"/>
          <w:szCs w:val="20"/>
          <w:lang w:val="en-IN"/>
        </w:rPr>
        <w:t xml:space="preserve">., vol. 163, no. 7, pp. 1344–1364, 2011.  </w:t>
      </w:r>
    </w:p>
    <w:p w14:paraId="01F72C7A" w14:textId="1607AE64"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G. Giese et al., “Development and validation of a reliable and robust method for the analysis of cannabinoids and terpenes in cannabis,” J. AOAC Int., vol. 98, no. 6, pp. 1505–1524, 2015.  </w:t>
      </w:r>
    </w:p>
    <w:p w14:paraId="0271EA17" w14:textId="3FB9EBF3"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S. Ross and M. </w:t>
      </w:r>
      <w:proofErr w:type="spellStart"/>
      <w:r w:rsidRPr="00DB3BAD">
        <w:rPr>
          <w:rFonts w:ascii="Times New Roman"/>
          <w:sz w:val="16"/>
          <w:szCs w:val="20"/>
          <w:lang w:val="en-IN"/>
        </w:rPr>
        <w:t>Elsohly</w:t>
      </w:r>
      <w:proofErr w:type="spellEnd"/>
      <w:r w:rsidRPr="00DB3BAD">
        <w:rPr>
          <w:rFonts w:ascii="Times New Roman"/>
          <w:sz w:val="16"/>
          <w:szCs w:val="20"/>
          <w:lang w:val="en-IN"/>
        </w:rPr>
        <w:t xml:space="preserve">, “The volatile oil composition of fresh and air-dried buds of Cannabis sativa,” J. Nat. Prod., vol. 59, no. 1, pp. 49–51, 1996.  </w:t>
      </w:r>
    </w:p>
    <w:p w14:paraId="672E1673" w14:textId="5A9D96E7"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M. J. </w:t>
      </w:r>
      <w:proofErr w:type="spellStart"/>
      <w:r w:rsidRPr="00DB3BAD">
        <w:rPr>
          <w:rFonts w:ascii="Times New Roman"/>
          <w:sz w:val="16"/>
          <w:szCs w:val="20"/>
          <w:lang w:val="en-IN"/>
        </w:rPr>
        <w:t>Barbut</w:t>
      </w:r>
      <w:proofErr w:type="spellEnd"/>
      <w:r w:rsidRPr="00DB3BAD">
        <w:rPr>
          <w:rFonts w:ascii="Times New Roman"/>
          <w:sz w:val="16"/>
          <w:szCs w:val="20"/>
          <w:lang w:val="en-IN"/>
        </w:rPr>
        <w:t xml:space="preserve">, “Influence of drying temperature on moisture loss in botanical samples,” J. Food Sci., vol. 85, no. 3, pp. 789–795, 2019.  </w:t>
      </w:r>
    </w:p>
    <w:p w14:paraId="6E201D0D" w14:textId="6AB2FCA6"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N. C. Silva et al., “Effects of infrared and microwave radiation on the bioactive compounds of microalga Spirulina platensis after continuous and intermittent drying,” Molecules, vol. 28, no. 3, p. 1203, 2023.  </w:t>
      </w:r>
    </w:p>
    <w:p w14:paraId="610767C4" w14:textId="6F93593F"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T. Strutz, Data Fitting and Uncertainty: A Practical Introduction to Weighted Least Squares and Beyond. Wiesbaden: </w:t>
      </w:r>
      <w:proofErr w:type="spellStart"/>
      <w:r w:rsidRPr="00DB3BAD">
        <w:rPr>
          <w:rFonts w:ascii="Times New Roman"/>
          <w:sz w:val="16"/>
          <w:szCs w:val="20"/>
          <w:lang w:val="en-IN"/>
        </w:rPr>
        <w:t>Vieweg+Teubner</w:t>
      </w:r>
      <w:proofErr w:type="spellEnd"/>
      <w:r w:rsidRPr="00DB3BAD">
        <w:rPr>
          <w:rFonts w:ascii="Times New Roman"/>
          <w:sz w:val="16"/>
          <w:szCs w:val="20"/>
          <w:lang w:val="en-IN"/>
        </w:rPr>
        <w:t xml:space="preserve">, 2016.  </w:t>
      </w:r>
    </w:p>
    <w:p w14:paraId="7424C7B5" w14:textId="02D3CA24"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L. C. Smith and R. K. Jones, “Correlation analysis between infrared and oven drying methods for moisture determination,” J. Food Eng., vol. 63, no. 4, pp. 512–520, 2021.  </w:t>
      </w:r>
    </w:p>
    <w:p w14:paraId="420E4E1C" w14:textId="11FE6B1F"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A. </w:t>
      </w:r>
      <w:proofErr w:type="spellStart"/>
      <w:r w:rsidRPr="00DB3BAD">
        <w:rPr>
          <w:rFonts w:ascii="Times New Roman"/>
          <w:sz w:val="16"/>
          <w:szCs w:val="20"/>
          <w:lang w:val="en-IN"/>
        </w:rPr>
        <w:t>Voropaev</w:t>
      </w:r>
      <w:proofErr w:type="spellEnd"/>
      <w:r w:rsidRPr="00DB3BAD">
        <w:rPr>
          <w:rFonts w:ascii="Times New Roman"/>
          <w:sz w:val="16"/>
          <w:szCs w:val="20"/>
          <w:lang w:val="en-IN"/>
        </w:rPr>
        <w:t xml:space="preserve"> et al., “Impact of sample size on moisture analysis in heterogeneous plant materials,” J. Anal. Chem., vol. 94, no. 5, pp. 2056–2062, 2022.  </w:t>
      </w:r>
    </w:p>
    <w:p w14:paraId="39D75C9E" w14:textId="686045E6"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A. </w:t>
      </w:r>
      <w:proofErr w:type="spellStart"/>
      <w:r w:rsidRPr="00DB3BAD">
        <w:rPr>
          <w:rFonts w:ascii="Times New Roman"/>
          <w:sz w:val="16"/>
          <w:szCs w:val="20"/>
          <w:lang w:val="en-IN"/>
        </w:rPr>
        <w:t>Kwaśnica</w:t>
      </w:r>
      <w:proofErr w:type="spellEnd"/>
      <w:r w:rsidRPr="00DB3BAD">
        <w:rPr>
          <w:rFonts w:ascii="Times New Roman"/>
          <w:sz w:val="16"/>
          <w:szCs w:val="20"/>
          <w:lang w:val="en-IN"/>
        </w:rPr>
        <w:t xml:space="preserve"> et al., “Effect of drying methods on chemical and sensory properties of Cannabis sativa leaves,” Molecules, vol. 28, no. 5, p. 2144, 2023.  </w:t>
      </w:r>
    </w:p>
    <w:p w14:paraId="1608E813" w14:textId="50667DE4"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R. Brenneisen, “Chemistry and analysis of </w:t>
      </w:r>
      <w:proofErr w:type="spellStart"/>
      <w:r w:rsidRPr="00DB3BAD">
        <w:rPr>
          <w:rFonts w:ascii="Times New Roman"/>
          <w:sz w:val="16"/>
          <w:szCs w:val="20"/>
          <w:lang w:val="en-IN"/>
        </w:rPr>
        <w:t>phytocannabinoids</w:t>
      </w:r>
      <w:proofErr w:type="spellEnd"/>
      <w:r w:rsidRPr="00DB3BAD">
        <w:rPr>
          <w:rFonts w:ascii="Times New Roman"/>
          <w:sz w:val="16"/>
          <w:szCs w:val="20"/>
          <w:lang w:val="en-IN"/>
        </w:rPr>
        <w:t xml:space="preserve"> and other cannabis constituents,” in Marijuana and the Cannabinoids, Totowa, NJ: Humana Press, 2007, pp. 17–49.  </w:t>
      </w:r>
    </w:p>
    <w:p w14:paraId="6EBBF019" w14:textId="06F87EE8"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K. H. Lee, “Operator variability in moisture content analysis: A case study,” Int. J. Anal. Chem., vol. 78, no. 3, pp. 334–340, 2022.  </w:t>
      </w:r>
    </w:p>
    <w:p w14:paraId="3AF6EF0F" w14:textId="06292D0D"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J. F. Martin, “Method validation and precision analysis in rapid moisture determination techniques,” Food Process Eng., vol. 37, no. 5, pp. 490–497, 2020.  </w:t>
      </w:r>
    </w:p>
    <w:p w14:paraId="2E3DF595" w14:textId="74B209FC"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European Directorate for the Quality of Medicines &amp; HealthCare, “General European OMCL Network (GEON), Quality management document: Validation and verification of analytical procedures,” Strasbourg, France, 2000.  </w:t>
      </w:r>
    </w:p>
    <w:p w14:paraId="1A031485" w14:textId="6D360693"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S. Gupta and V. Kumar, “Precision and repeatability in moisture analysis: A comparative study,” J. Qual. Control, vol. 72, no. 1, pp. 115–122, 2021.  </w:t>
      </w:r>
    </w:p>
    <w:p w14:paraId="0336FF6C" w14:textId="4CA72352"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A. Dalai et al., “Volatile organic compounds emitted during high-temperature alfalfa drying,” </w:t>
      </w:r>
      <w:proofErr w:type="spellStart"/>
      <w:r w:rsidRPr="00DB3BAD">
        <w:rPr>
          <w:rFonts w:ascii="Times New Roman"/>
          <w:sz w:val="16"/>
          <w:szCs w:val="20"/>
          <w:lang w:val="en-IN"/>
        </w:rPr>
        <w:t>Biosyst</w:t>
      </w:r>
      <w:proofErr w:type="spellEnd"/>
      <w:r w:rsidRPr="00DB3BAD">
        <w:rPr>
          <w:rFonts w:ascii="Times New Roman"/>
          <w:sz w:val="16"/>
          <w:szCs w:val="20"/>
          <w:lang w:val="en-IN"/>
        </w:rPr>
        <w:t xml:space="preserve">. Eng., vol. 94, no. 1, pp. 57–66, 2006.  </w:t>
      </w:r>
    </w:p>
    <w:p w14:paraId="6FF18230" w14:textId="4302EC9C"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A. Stancik, “Comparative analysis of low-temperature vacuum drying and fast loss-on-drying methods for cannabis moisture determination,” </w:t>
      </w:r>
      <w:proofErr w:type="spellStart"/>
      <w:r w:rsidRPr="00DB3BAD">
        <w:rPr>
          <w:rFonts w:ascii="Times New Roman"/>
          <w:sz w:val="16"/>
          <w:szCs w:val="20"/>
          <w:lang w:val="en-IN"/>
        </w:rPr>
        <w:t>CannaSafe</w:t>
      </w:r>
      <w:proofErr w:type="spellEnd"/>
      <w:r w:rsidRPr="00DB3BAD">
        <w:rPr>
          <w:rFonts w:ascii="Times New Roman"/>
          <w:sz w:val="16"/>
          <w:szCs w:val="20"/>
          <w:lang w:val="en-IN"/>
        </w:rPr>
        <w:t xml:space="preserve"> Labs, 2015.  </w:t>
      </w:r>
    </w:p>
    <w:p w14:paraId="1F1C4EDF" w14:textId="623C051F"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R. L. Smith et al., “Comparative analysis of moisture determination methods in botanical samples,” Anal. Methods, vol. 15, no. 5, pp. 368–375, 2021.  </w:t>
      </w:r>
    </w:p>
    <w:p w14:paraId="1C0A8CEB" w14:textId="339D580B"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T. R. Evans, “Empirical correction factors in moisture analysis of botanical samples,” Anal. Sci., vol. 89, no. 7, pp. 587–594, 2021.  </w:t>
      </w:r>
    </w:p>
    <w:p w14:paraId="5BCCC6EC" w14:textId="36477969"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T. L. Nguyen and M. H. Lee, “Structural heterogeneity in cannabis and its impact on quality control,” J. Nat. Prod., vol. 82, no. 4, pp. 1025–1033, 2020.  </w:t>
      </w:r>
    </w:p>
    <w:p w14:paraId="59F82460" w14:textId="6F097BB2"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F. J. Sikora et al., “THC content on a dry weight basis: Implications for hemp legality,” J. AOAC Int., vol. 97, no. 2, pp. 305–310, 2024.  </w:t>
      </w:r>
    </w:p>
    <w:p w14:paraId="1F984C25" w14:textId="59DB519A"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M. </w:t>
      </w:r>
      <w:proofErr w:type="spellStart"/>
      <w:r w:rsidRPr="00DB3BAD">
        <w:rPr>
          <w:rFonts w:ascii="Times New Roman"/>
          <w:sz w:val="16"/>
          <w:szCs w:val="20"/>
          <w:lang w:val="en-IN"/>
        </w:rPr>
        <w:t>Ghijs</w:t>
      </w:r>
      <w:proofErr w:type="spellEnd"/>
      <w:r w:rsidRPr="00DB3BAD">
        <w:rPr>
          <w:rFonts w:ascii="Times New Roman"/>
          <w:sz w:val="16"/>
          <w:szCs w:val="20"/>
          <w:lang w:val="en-IN"/>
        </w:rPr>
        <w:t xml:space="preserve"> et al., “Two-dimensional moisture content and size measurement of pharmaceutical granules after fluid bed drying using near-infrared chemical imaging,” Int. J. Pharm., vol. 602, p. 120567, 2021.  </w:t>
      </w:r>
    </w:p>
    <w:p w14:paraId="30ADF60B" w14:textId="4DD65730"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 S. Matthews, “Effect of drying temperature on fuel moisture content measurements,” Int. J. Wildland Fire, vol. 19, no. 6, pp. 800–802, 2010.  </w:t>
      </w:r>
    </w:p>
    <w:p w14:paraId="1CC4CC3B" w14:textId="32DBA8E6"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J. </w:t>
      </w:r>
      <w:proofErr w:type="spellStart"/>
      <w:r w:rsidRPr="00DB3BAD">
        <w:rPr>
          <w:rFonts w:ascii="Times New Roman"/>
          <w:sz w:val="16"/>
          <w:szCs w:val="20"/>
          <w:lang w:val="en-IN"/>
        </w:rPr>
        <w:t>Barański</w:t>
      </w:r>
      <w:proofErr w:type="spellEnd"/>
      <w:r w:rsidRPr="00DB3BAD">
        <w:rPr>
          <w:rFonts w:ascii="Times New Roman"/>
          <w:sz w:val="16"/>
          <w:szCs w:val="20"/>
          <w:lang w:val="en-IN"/>
        </w:rPr>
        <w:t xml:space="preserve">, “Moisture content during and after high- and normal-temperature drying processes of wood,” Dry. Technol., vol. 36, no. 6, pp. 751–761, 2018.  </w:t>
      </w:r>
    </w:p>
    <w:p w14:paraId="44DBAACE" w14:textId="2FEB5EF1"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S. K. Patel, “Capillary forces and moisture retention in biological tissues,” Food Chem., vol. 130, no. 2, pp. 567–573, 2019.  </w:t>
      </w:r>
    </w:p>
    <w:p w14:paraId="3A348398" w14:textId="73A5FFCA"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A. B. Jones and L. M. White, “Evaporation dynamics of free water in plant matrices,” J. Agric. Sci., vol. 47, no. 3, pp. 245–253, 2018.  </w:t>
      </w:r>
    </w:p>
    <w:p w14:paraId="0BA92122" w14:textId="4252EA15"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M. R. Thompson, “Bound water in biomaterials: Implications for drying and storage,” J. Food Eng., vol. 102, no. 1, pp. 12–20, 2020.  </w:t>
      </w:r>
    </w:p>
    <w:p w14:paraId="7268D0B1" w14:textId="01EB11A8"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U. Forest, “A new X-ray scanning method for measuring the internal moisture content in wood drying,” J. Wood Sci., vol. 56, no. 4, pp. 302–309, 2010.  </w:t>
      </w:r>
    </w:p>
    <w:p w14:paraId="3A1B111C" w14:textId="32110E55"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P. K. Singh et al., “Statistical evaluation of moisture content determination methods in agricultural products,” J. Anal. Methods, vol. 56, no. 4, pp. 302–309, 2020.  </w:t>
      </w:r>
    </w:p>
    <w:p w14:paraId="3B6C2DEC" w14:textId="535FA47A"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L. Qiu et al., “Effects of infrared freeze drying on volatile profile, FTIR molecular structure profile and nutritional properties of edible rose flower (Rosa rugosa),” J. Sci. Food Agric., vol. 100, no. 5, pp. 2010–2020, 2020.  </w:t>
      </w:r>
    </w:p>
    <w:p w14:paraId="402A8CE7" w14:textId="1735C5BF"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A. B. Smith et al., “Impact of trichome density on moisture retention in Cannabis sativa,” Botany Lett., vol. 129, no. 4, pp. 401–408, 2022.  </w:t>
      </w:r>
    </w:p>
    <w:p w14:paraId="3B6C4F69" w14:textId="04EFF9AC"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lastRenderedPageBreak/>
        <w:t xml:space="preserve">R. T. Nguyen, “Heat penetration dynamics in resin-rich botanical samples during drying,” J. Therm. Anal., vol. 145, no. 3, pp. 1120–1128, 2021.  </w:t>
      </w:r>
    </w:p>
    <w:p w14:paraId="452F52A6" w14:textId="0549E154"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L. M. Garcia et al., “Optimizing sample size for moisture determination in heterogeneous plant matrices,” Anal. Chem. Res., vol. 12, pp. 45–53, 2023.  </w:t>
      </w:r>
    </w:p>
    <w:p w14:paraId="43828C89" w14:textId="7E55FC93"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T. K. Johnson et al., “Plant material drying: A review of size-dependent effects,” Dry. Technol., vol. 40, no. 2, pp. 210–225, 2022.  </w:t>
      </w:r>
    </w:p>
    <w:p w14:paraId="025642A2" w14:textId="43C781EC"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S. R. Patel and H. W. Lee, “Moisture distribution mapping in cannabis flowers using NIR spectroscopy,” J. Agric. Food Chem., vol. 71, no. 8, pp. 3890–3901, 2023.  </w:t>
      </w:r>
    </w:p>
    <w:p w14:paraId="4246F2AE" w14:textId="57D01193"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C. D. Miller, “Bound water characterization in cellulose-protein matrices,” </w:t>
      </w:r>
      <w:proofErr w:type="spellStart"/>
      <w:r w:rsidRPr="00DB3BAD">
        <w:rPr>
          <w:rFonts w:ascii="Times New Roman"/>
          <w:sz w:val="16"/>
          <w:szCs w:val="20"/>
          <w:lang w:val="en-IN"/>
        </w:rPr>
        <w:t>Carbohydr</w:t>
      </w:r>
      <w:proofErr w:type="spellEnd"/>
      <w:r w:rsidRPr="00DB3BAD">
        <w:rPr>
          <w:rFonts w:ascii="Times New Roman"/>
          <w:sz w:val="16"/>
          <w:szCs w:val="20"/>
          <w:lang w:val="en-IN"/>
        </w:rPr>
        <w:t xml:space="preserve">. Polym., vol. 276, p. 118789, 2022.  </w:t>
      </w:r>
    </w:p>
    <w:p w14:paraId="36D8CF09" w14:textId="643F223F"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E. J. Thompson, “Thermal desorption of bound water in plant tissues,” J. Food Eng., vol. 305, p. 110585, 2021.  </w:t>
      </w:r>
    </w:p>
    <w:p w14:paraId="368B643C" w14:textId="6511AFAA"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M. A. Lopez et al., “Total volatiles vs. free moisture: Regulatory implications for botanical products,” </w:t>
      </w:r>
      <w:proofErr w:type="spellStart"/>
      <w:r w:rsidRPr="00DB3BAD">
        <w:rPr>
          <w:rFonts w:ascii="Times New Roman"/>
          <w:sz w:val="16"/>
          <w:szCs w:val="20"/>
          <w:lang w:val="en-IN"/>
        </w:rPr>
        <w:t>Regul</w:t>
      </w:r>
      <w:proofErr w:type="spellEnd"/>
      <w:r w:rsidRPr="00DB3BAD">
        <w:rPr>
          <w:rFonts w:ascii="Times New Roman"/>
          <w:sz w:val="16"/>
          <w:szCs w:val="20"/>
          <w:lang w:val="en-IN"/>
        </w:rPr>
        <w:t xml:space="preserve">. </w:t>
      </w:r>
      <w:proofErr w:type="spellStart"/>
      <w:r w:rsidRPr="00DB3BAD">
        <w:rPr>
          <w:rFonts w:ascii="Times New Roman"/>
          <w:sz w:val="16"/>
          <w:szCs w:val="20"/>
          <w:lang w:val="en-IN"/>
        </w:rPr>
        <w:t>Toxicol</w:t>
      </w:r>
      <w:proofErr w:type="spellEnd"/>
      <w:r w:rsidRPr="00DB3BAD">
        <w:rPr>
          <w:rFonts w:ascii="Times New Roman"/>
          <w:sz w:val="16"/>
          <w:szCs w:val="20"/>
          <w:lang w:val="en-IN"/>
        </w:rPr>
        <w:t xml:space="preserve">. </w:t>
      </w:r>
      <w:proofErr w:type="spellStart"/>
      <w:r w:rsidRPr="00DB3BAD">
        <w:rPr>
          <w:rFonts w:ascii="Times New Roman"/>
          <w:sz w:val="16"/>
          <w:szCs w:val="20"/>
          <w:lang w:val="en-IN"/>
        </w:rPr>
        <w:t>Pharmacol</w:t>
      </w:r>
      <w:proofErr w:type="spellEnd"/>
      <w:r w:rsidRPr="00DB3BAD">
        <w:rPr>
          <w:rFonts w:ascii="Times New Roman"/>
          <w:sz w:val="16"/>
          <w:szCs w:val="20"/>
          <w:lang w:val="en-IN"/>
        </w:rPr>
        <w:t xml:space="preserve">., vol. 134, p. 105246, 2022.  </w:t>
      </w:r>
    </w:p>
    <w:p w14:paraId="1C913514" w14:textId="728CF25C" w:rsidR="00DB3BAD" w:rsidRPr="00910643" w:rsidRDefault="00DB3BAD" w:rsidP="009D6D00">
      <w:pPr>
        <w:pStyle w:val="ListParagraph"/>
        <w:numPr>
          <w:ilvl w:val="0"/>
          <w:numId w:val="3"/>
        </w:numPr>
        <w:spacing w:after="0" w:line="240" w:lineRule="auto"/>
        <w:jc w:val="both"/>
        <w:rPr>
          <w:rFonts w:ascii="Times New Roman"/>
          <w:sz w:val="16"/>
          <w:szCs w:val="20"/>
          <w:lang w:val="en-IN"/>
        </w:rPr>
      </w:pPr>
      <w:r w:rsidRPr="00910643">
        <w:rPr>
          <w:rFonts w:ascii="Times New Roman"/>
          <w:sz w:val="16"/>
          <w:szCs w:val="20"/>
          <w:lang w:val="en-IN"/>
        </w:rPr>
        <w:t xml:space="preserve">F. G. Silva et al., “Near-infrared spectroscopy for non-destructive moisture analysis in Cannabis sativa,” </w:t>
      </w:r>
      <w:proofErr w:type="spellStart"/>
      <w:r w:rsidRPr="00910643">
        <w:rPr>
          <w:rFonts w:ascii="Times New Roman"/>
          <w:sz w:val="16"/>
          <w:szCs w:val="20"/>
          <w:lang w:val="en-IN"/>
        </w:rPr>
        <w:t>Talanta</w:t>
      </w:r>
      <w:proofErr w:type="spellEnd"/>
      <w:r w:rsidRPr="00910643">
        <w:rPr>
          <w:rFonts w:ascii="Times New Roman"/>
          <w:sz w:val="16"/>
          <w:szCs w:val="20"/>
          <w:lang w:val="en-IN"/>
        </w:rPr>
        <w:t xml:space="preserve">, vol. 245, p. 123456, 2022.  </w:t>
      </w:r>
    </w:p>
    <w:p w14:paraId="09AE0D98" w14:textId="243A98F4" w:rsidR="00DB3BAD" w:rsidRPr="00DB3BAD" w:rsidRDefault="00DB3BAD" w:rsidP="009D6D00">
      <w:pPr>
        <w:pStyle w:val="ListParagraph"/>
        <w:numPr>
          <w:ilvl w:val="0"/>
          <w:numId w:val="3"/>
        </w:numPr>
        <w:spacing w:after="0" w:line="240" w:lineRule="auto"/>
        <w:jc w:val="both"/>
        <w:rPr>
          <w:rFonts w:ascii="Times New Roman"/>
          <w:sz w:val="16"/>
          <w:szCs w:val="20"/>
          <w:lang w:val="en-IN"/>
        </w:rPr>
      </w:pPr>
      <w:r w:rsidRPr="00DB3BAD">
        <w:rPr>
          <w:rFonts w:ascii="Times New Roman"/>
          <w:sz w:val="16"/>
          <w:szCs w:val="20"/>
          <w:lang w:val="en-IN"/>
        </w:rPr>
        <w:t xml:space="preserve">J. K. Roberts et al., “Microbial safety thresholds for free water content in botanicals,” Food </w:t>
      </w:r>
      <w:proofErr w:type="spellStart"/>
      <w:r w:rsidRPr="00DB3BAD">
        <w:rPr>
          <w:rFonts w:ascii="Times New Roman"/>
          <w:sz w:val="16"/>
          <w:szCs w:val="20"/>
          <w:lang w:val="en-IN"/>
        </w:rPr>
        <w:t>Microbiol</w:t>
      </w:r>
      <w:proofErr w:type="spellEnd"/>
      <w:r w:rsidRPr="00DB3BAD">
        <w:rPr>
          <w:rFonts w:ascii="Times New Roman"/>
          <w:sz w:val="16"/>
          <w:szCs w:val="20"/>
          <w:lang w:val="en-IN"/>
        </w:rPr>
        <w:t xml:space="preserve">., vol. 99, p. 103832, 2021.  </w:t>
      </w:r>
    </w:p>
    <w:p w14:paraId="31A26086" w14:textId="1B185F75" w:rsidR="007A4B65" w:rsidRPr="00860A33" w:rsidRDefault="00DB3BAD" w:rsidP="000D1608">
      <w:pPr>
        <w:pStyle w:val="ListParagraph"/>
        <w:numPr>
          <w:ilvl w:val="0"/>
          <w:numId w:val="3"/>
        </w:numPr>
        <w:spacing w:after="0" w:line="240" w:lineRule="auto"/>
        <w:jc w:val="both"/>
        <w:rPr>
          <w:rFonts w:ascii="Times New Roman"/>
          <w:sz w:val="16"/>
          <w:szCs w:val="20"/>
        </w:rPr>
      </w:pPr>
      <w:r w:rsidRPr="00860A33">
        <w:rPr>
          <w:rFonts w:ascii="Times New Roman"/>
          <w:sz w:val="16"/>
          <w:szCs w:val="20"/>
          <w:lang w:val="en-IN"/>
        </w:rPr>
        <w:t>H. L. Wang et al., “Terpene retention as a critical quality metric in cannabis drying processes,” Ind. Crops Prod., vol. 178, p. 114567, 2022</w:t>
      </w:r>
    </w:p>
    <w:sectPr w:rsidR="007A4B65" w:rsidRPr="00860A33" w:rsidSect="00B402A1">
      <w:headerReference w:type="default" r:id="rId8"/>
      <w:footerReference w:type="default" r:id="rId9"/>
      <w:headerReference w:type="first" r:id="rId10"/>
      <w:footerReference w:type="first" r:id="rId11"/>
      <w:pgSz w:w="12240" w:h="15840"/>
      <w:pgMar w:top="1440" w:right="1440" w:bottom="1440" w:left="1440" w:header="1138" w:footer="113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7252E" w14:textId="77777777" w:rsidR="00EB7C8D" w:rsidRDefault="00EB7C8D">
      <w:pPr>
        <w:spacing w:after="0" w:line="240" w:lineRule="auto"/>
      </w:pPr>
      <w:r>
        <w:separator/>
      </w:r>
    </w:p>
  </w:endnote>
  <w:endnote w:type="continuationSeparator" w:id="0">
    <w:p w14:paraId="54439511" w14:textId="77777777" w:rsidR="00EB7C8D" w:rsidRDefault="00EB7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90BE1" w14:textId="72F0E473" w:rsidR="00EB64DB" w:rsidRDefault="00EB64DB" w:rsidP="00EB64DB">
    <w:pPr>
      <w:pStyle w:val="Footer"/>
      <w:pBdr>
        <w:top w:val="single" w:sz="4" w:space="1" w:color="auto"/>
      </w:pBdr>
      <w:tabs>
        <w:tab w:val="clear" w:pos="4513"/>
        <w:tab w:val="clear" w:pos="9026"/>
      </w:tabs>
      <w:jc w:val="both"/>
      <w:rPr>
        <w:rFonts w:ascii="Times New Roman"/>
        <w:sz w:val="20"/>
      </w:rPr>
    </w:pPr>
    <w:r>
      <w:rPr>
        <w:rFonts w:ascii="Times New Roman"/>
        <w:sz w:val="20"/>
      </w:rPr>
      <w:t xml:space="preserve">Corresponding Author: </w:t>
    </w:r>
    <w:r w:rsidR="0029416B">
      <w:rPr>
        <w:rFonts w:ascii="Times New Roman"/>
        <w:sz w:val="20"/>
      </w:rPr>
      <w:t>Blagoj Nikolov</w:t>
    </w:r>
    <w:r w:rsidR="00D307BB">
      <w:rPr>
        <w:rFonts w:ascii="Times New Roman"/>
        <w:sz w:val="20"/>
      </w:rPr>
      <w:t xml:space="preserve">, </w:t>
    </w:r>
    <w:r w:rsidR="00D307BB" w:rsidRPr="00D307BB">
      <w:rPr>
        <w:rFonts w:ascii="Times New Roman"/>
        <w:sz w:val="20"/>
      </w:rPr>
      <w:t>nikolov.blagoj@gmail.com</w:t>
    </w:r>
    <w:r>
      <w:rPr>
        <w:rFonts w:ascii="Times New Roman"/>
        <w:sz w:val="20"/>
      </w:rPr>
      <w:tab/>
    </w:r>
    <w:r w:rsidR="00D307BB">
      <w:rPr>
        <w:rFonts w:ascii="Times New Roman"/>
        <w:sz w:val="20"/>
      </w:rPr>
      <w:t xml:space="preserve">                   </w:t>
    </w:r>
    <w:r>
      <w:rPr>
        <w:rFonts w:ascii="Times New Roman"/>
        <w:sz w:val="20"/>
      </w:rPr>
      <w:t xml:space="preserve">                                        </w:t>
    </w:r>
    <w:r w:rsidR="00AB2F45">
      <w:rPr>
        <w:rFonts w:ascii="Times New Roman"/>
        <w:sz w:val="20"/>
      </w:rPr>
      <w:fldChar w:fldCharType="begin"/>
    </w:r>
    <w:r>
      <w:rPr>
        <w:rFonts w:ascii="Times New Roman"/>
        <w:sz w:val="20"/>
      </w:rPr>
      <w:instrText xml:space="preserve"> PAGE  \* Arabic  \* MERGEFORMAT </w:instrText>
    </w:r>
    <w:r w:rsidR="00AB2F45">
      <w:rPr>
        <w:rFonts w:ascii="Times New Roman"/>
        <w:sz w:val="20"/>
      </w:rPr>
      <w:fldChar w:fldCharType="separate"/>
    </w:r>
    <w:r w:rsidR="00395EF0">
      <w:rPr>
        <w:rFonts w:ascii="Times New Roman"/>
        <w:noProof/>
        <w:sz w:val="20"/>
      </w:rPr>
      <w:t>10</w:t>
    </w:r>
    <w:r w:rsidR="00AB2F45">
      <w:rPr>
        <w:rFonts w:ascii="Times New Roman"/>
        <w:sz w:val="20"/>
      </w:rPr>
      <w:fldChar w:fldCharType="end"/>
    </w:r>
    <w:r>
      <w:rPr>
        <w:rFonts w:ascii="Times New Roman"/>
        <w:sz w:val="20"/>
      </w:rPr>
      <w:t xml:space="preserve"> | Page</w:t>
    </w:r>
  </w:p>
  <w:p w14:paraId="0E7978D4" w14:textId="77777777" w:rsidR="00D17811" w:rsidRPr="00EB64DB" w:rsidRDefault="00D17811" w:rsidP="00EB6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C75BB" w14:textId="07E1DB30" w:rsidR="00D17811" w:rsidRDefault="00D10CD7">
    <w:pPr>
      <w:pStyle w:val="Footer"/>
      <w:pBdr>
        <w:top w:val="single" w:sz="4" w:space="1" w:color="auto"/>
      </w:pBdr>
      <w:tabs>
        <w:tab w:val="clear" w:pos="4513"/>
        <w:tab w:val="clear" w:pos="9026"/>
      </w:tabs>
      <w:jc w:val="both"/>
      <w:rPr>
        <w:rFonts w:ascii="Times New Roman"/>
        <w:sz w:val="20"/>
      </w:rPr>
    </w:pPr>
    <w:bookmarkStart w:id="3" w:name="_Hlk191939197"/>
    <w:r>
      <w:rPr>
        <w:rFonts w:ascii="Times New Roman"/>
        <w:sz w:val="20"/>
      </w:rPr>
      <w:t xml:space="preserve">Corresponding Author: </w:t>
    </w:r>
    <w:r w:rsidR="00F731B5">
      <w:rPr>
        <w:rFonts w:ascii="Times New Roman"/>
        <w:sz w:val="20"/>
      </w:rPr>
      <w:t>Blagoj Nikolov</w:t>
    </w:r>
    <w:bookmarkEnd w:id="3"/>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sidR="00D17811">
      <w:rPr>
        <w:rFonts w:ascii="Times New Roman"/>
        <w:sz w:val="20"/>
      </w:rPr>
      <w:t xml:space="preserve">     </w:t>
    </w:r>
    <w:r w:rsidR="00B402A1">
      <w:rPr>
        <w:rFonts w:ascii="Times New Roman"/>
        <w:sz w:val="20"/>
      </w:rPr>
      <w:t xml:space="preserve">   </w:t>
    </w:r>
    <w:r w:rsidR="00D17811">
      <w:rPr>
        <w:rFonts w:ascii="Times New Roman"/>
        <w:sz w:val="20"/>
      </w:rPr>
      <w:t xml:space="preserve">      </w:t>
    </w:r>
    <w:r w:rsidR="00B402A1">
      <w:rPr>
        <w:rFonts w:ascii="Times New Roman"/>
        <w:sz w:val="20"/>
      </w:rPr>
      <w:t xml:space="preserve">  </w:t>
    </w:r>
    <w:r w:rsidR="00D17811">
      <w:rPr>
        <w:rFonts w:ascii="Times New Roman"/>
        <w:sz w:val="20"/>
      </w:rPr>
      <w:t xml:space="preserve">                        </w:t>
    </w:r>
    <w:r w:rsidR="00AB2F45">
      <w:rPr>
        <w:rFonts w:ascii="Times New Roman"/>
        <w:sz w:val="20"/>
      </w:rPr>
      <w:fldChar w:fldCharType="begin"/>
    </w:r>
    <w:r w:rsidR="00D17811">
      <w:rPr>
        <w:rFonts w:ascii="Times New Roman"/>
        <w:sz w:val="20"/>
      </w:rPr>
      <w:instrText xml:space="preserve"> PAGE  \* Arabic  \* MERGEFORMAT </w:instrText>
    </w:r>
    <w:r w:rsidR="00AB2F45">
      <w:rPr>
        <w:rFonts w:ascii="Times New Roman"/>
        <w:sz w:val="20"/>
      </w:rPr>
      <w:fldChar w:fldCharType="separate"/>
    </w:r>
    <w:r w:rsidR="00395EF0">
      <w:rPr>
        <w:rFonts w:ascii="Times New Roman"/>
        <w:noProof/>
        <w:sz w:val="20"/>
      </w:rPr>
      <w:t>1</w:t>
    </w:r>
    <w:r w:rsidR="00AB2F45">
      <w:rPr>
        <w:rFonts w:ascii="Times New Roman"/>
        <w:sz w:val="20"/>
      </w:rPr>
      <w:fldChar w:fldCharType="end"/>
    </w:r>
    <w:r w:rsidR="00D17811">
      <w:rPr>
        <w:rFonts w:ascii="Times New Roman"/>
        <w:sz w:val="20"/>
      </w:rPr>
      <w:t xml:space="preserve"> |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5171C" w14:textId="77777777" w:rsidR="00EB7C8D" w:rsidRDefault="00EB7C8D">
      <w:pPr>
        <w:spacing w:after="0" w:line="240" w:lineRule="auto"/>
      </w:pPr>
      <w:r>
        <w:separator/>
      </w:r>
    </w:p>
  </w:footnote>
  <w:footnote w:type="continuationSeparator" w:id="0">
    <w:p w14:paraId="7A36F82E" w14:textId="77777777" w:rsidR="00EB7C8D" w:rsidRDefault="00EB7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CC7FD" w14:textId="3B22DCF1" w:rsidR="00D17811" w:rsidRPr="00D13735" w:rsidRDefault="00D13735" w:rsidP="00D13735">
    <w:pPr>
      <w:pBdr>
        <w:bottom w:val="single" w:sz="4" w:space="1" w:color="auto"/>
      </w:pBdr>
      <w:tabs>
        <w:tab w:val="left" w:pos="0"/>
      </w:tabs>
      <w:spacing w:line="240" w:lineRule="auto"/>
      <w:ind w:right="-138"/>
      <w:rPr>
        <w:rFonts w:ascii="Times New Roman"/>
        <w:i/>
        <w:sz w:val="20"/>
        <w:szCs w:val="20"/>
      </w:rPr>
    </w:pPr>
    <w:r w:rsidRPr="00D13735">
      <w:rPr>
        <w:rFonts w:ascii="Times New Roman"/>
        <w:i/>
        <w:sz w:val="20"/>
        <w:szCs w:val="20"/>
      </w:rPr>
      <w:t xml:space="preserve">Systemic Bias in In-Process Moisture Measurement Between </w:t>
    </w:r>
    <w:r w:rsidRPr="00D13735">
      <w:rPr>
        <w:rFonts w:ascii="Times New Roman"/>
        <w:i/>
        <w:sz w:val="20"/>
        <w:szCs w:val="20"/>
      </w:rPr>
      <w:t>HMA</w:t>
    </w:r>
    <w:r w:rsidRPr="00D13735">
      <w:rPr>
        <w:rFonts w:ascii="Times New Roman"/>
        <w:i/>
        <w:sz w:val="20"/>
        <w:szCs w:val="20"/>
      </w:rPr>
      <w:t xml:space="preserve"> and </w:t>
    </w:r>
    <w:r w:rsidRPr="00D13735">
      <w:rPr>
        <w:rFonts w:ascii="Times New Roman"/>
        <w:i/>
        <w:sz w:val="20"/>
        <w:szCs w:val="20"/>
      </w:rPr>
      <w:t>DO</w:t>
    </w:r>
    <w:r w:rsidRPr="00D13735">
      <w:rPr>
        <w:rFonts w:ascii="Times New Roman"/>
        <w:i/>
        <w:sz w:val="20"/>
        <w:szCs w:val="20"/>
      </w:rPr>
      <w:t xml:space="preserve"> During Dry Cannabis Flower Production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35BD" w14:textId="6FFC1B3C" w:rsidR="00B402A1" w:rsidRPr="00AB592B" w:rsidRDefault="00344640" w:rsidP="00F527BA">
    <w:pPr>
      <w:pStyle w:val="Header"/>
      <w:pBdr>
        <w:bottom w:val="single" w:sz="4" w:space="0" w:color="auto"/>
      </w:pBdr>
      <w:tabs>
        <w:tab w:val="clear" w:pos="4513"/>
        <w:tab w:val="clear" w:pos="9026"/>
      </w:tabs>
      <w:rPr>
        <w:rFonts w:ascii="Times New Roman"/>
        <w:i/>
      </w:rPr>
    </w:pPr>
    <w:r w:rsidRPr="00344640">
      <w:rPr>
        <w:rFonts w:ascii="Times New Roman"/>
        <w:i/>
      </w:rPr>
      <w:t xml:space="preserve">IOSR Journal </w:t>
    </w:r>
    <w:proofErr w:type="gramStart"/>
    <w:r w:rsidRPr="00344640">
      <w:rPr>
        <w:rFonts w:ascii="Times New Roman"/>
        <w:i/>
      </w:rPr>
      <w:t>Of</w:t>
    </w:r>
    <w:proofErr w:type="gramEnd"/>
    <w:r w:rsidRPr="00344640">
      <w:rPr>
        <w:rFonts w:ascii="Times New Roman"/>
        <w:i/>
      </w:rPr>
      <w:t xml:space="preserve"> Pharmacy</w:t>
    </w:r>
  </w:p>
  <w:p w14:paraId="1BFD5E37" w14:textId="2FFBAD05" w:rsidR="00B402A1" w:rsidRPr="00AB592B" w:rsidRDefault="00B402A1" w:rsidP="00F527BA">
    <w:pPr>
      <w:pStyle w:val="Header"/>
      <w:pBdr>
        <w:bottom w:val="single" w:sz="4" w:space="0" w:color="auto"/>
      </w:pBdr>
      <w:tabs>
        <w:tab w:val="clear" w:pos="4513"/>
        <w:tab w:val="clear" w:pos="9026"/>
      </w:tabs>
      <w:rPr>
        <w:rFonts w:ascii="Times New Roman"/>
        <w:i/>
      </w:rPr>
    </w:pPr>
    <w:proofErr w:type="gramStart"/>
    <w:r w:rsidRPr="00AB592B">
      <w:rPr>
        <w:rFonts w:ascii="Times New Roman"/>
        <w:i/>
      </w:rPr>
      <w:t>ISSN :</w:t>
    </w:r>
    <w:proofErr w:type="gramEnd"/>
    <w:r w:rsidRPr="00AB592B">
      <w:rPr>
        <w:rFonts w:ascii="Times New Roman"/>
        <w:i/>
      </w:rPr>
      <w:t xml:space="preserve"> </w:t>
    </w:r>
    <w:r>
      <w:rPr>
        <w:rFonts w:ascii="Times New Roman"/>
        <w:i/>
      </w:rPr>
      <w:t>XXXX-</w:t>
    </w:r>
    <w:proofErr w:type="gramStart"/>
    <w:r>
      <w:rPr>
        <w:rFonts w:ascii="Times New Roman"/>
        <w:i/>
      </w:rPr>
      <w:t xml:space="preserve">XXXX </w:t>
    </w:r>
    <w:r w:rsidRPr="00AB592B">
      <w:rPr>
        <w:rFonts w:ascii="Times New Roman"/>
        <w:i/>
      </w:rPr>
      <w:t xml:space="preserve"> Volume</w:t>
    </w:r>
    <w:proofErr w:type="gramEnd"/>
    <w:r w:rsidRPr="00AB592B">
      <w:rPr>
        <w:rFonts w:ascii="Times New Roman"/>
        <w:i/>
      </w:rPr>
      <w:t xml:space="preserve"> </w:t>
    </w:r>
    <w:r>
      <w:rPr>
        <w:rFonts w:ascii="Times New Roman"/>
        <w:i/>
      </w:rPr>
      <w:t>X</w:t>
    </w:r>
    <w:r w:rsidRPr="00AB592B">
      <w:rPr>
        <w:rFonts w:ascii="Times New Roman"/>
        <w:i/>
      </w:rPr>
      <w:t xml:space="preserve">, Issue </w:t>
    </w:r>
    <w:r>
      <w:rPr>
        <w:rFonts w:ascii="Times New Roman"/>
        <w:i/>
      </w:rPr>
      <w:t>X</w:t>
    </w:r>
    <w:r w:rsidRPr="00AB592B">
      <w:rPr>
        <w:rFonts w:ascii="Times New Roman"/>
        <w:i/>
      </w:rPr>
      <w:t xml:space="preserve"> (</w:t>
    </w:r>
    <w:r w:rsidR="00276BD7">
      <w:rPr>
        <w:rFonts w:ascii="Times New Roman"/>
        <w:i/>
      </w:rPr>
      <w:t>202</w:t>
    </w:r>
    <w:r w:rsidR="00021D9F">
      <w:rPr>
        <w:rFonts w:ascii="Times New Roman"/>
        <w:i/>
      </w:rPr>
      <w:t>5</w:t>
    </w:r>
    <w:r w:rsidRPr="00AB592B">
      <w:rPr>
        <w:rFonts w:ascii="Times New Roman"/>
        <w:i/>
      </w:rPr>
      <w:t xml:space="preserve">), PP </w:t>
    </w:r>
    <w:r>
      <w:rPr>
        <w:rFonts w:ascii="Times New Roman"/>
        <w:i/>
      </w:rPr>
      <w:t>XX</w:t>
    </w:r>
    <w:r w:rsidRPr="00AB592B">
      <w:rPr>
        <w:rFonts w:ascii="Times New Roman"/>
        <w:i/>
      </w:rPr>
      <w:t>-</w:t>
    </w:r>
    <w:r>
      <w:rPr>
        <w:rFonts w:ascii="Times New Roman"/>
        <w:i/>
      </w:rPr>
      <w:t>XX</w:t>
    </w:r>
  </w:p>
  <w:p w14:paraId="6214338D" w14:textId="77777777" w:rsidR="00D17811" w:rsidRPr="00B402A1" w:rsidRDefault="00B402A1" w:rsidP="00F527BA">
    <w:pPr>
      <w:pStyle w:val="Header"/>
      <w:pBdr>
        <w:bottom w:val="single" w:sz="4" w:space="0" w:color="auto"/>
      </w:pBdr>
      <w:tabs>
        <w:tab w:val="clear" w:pos="4513"/>
        <w:tab w:val="clear" w:pos="9026"/>
      </w:tabs>
      <w:rPr>
        <w:rFonts w:ascii="Times New Roman"/>
        <w:i/>
      </w:rPr>
    </w:pPr>
    <w:r w:rsidRPr="00737F41">
      <w:rPr>
        <w:rFonts w:ascii="Times New Roman"/>
        <w:i/>
      </w:rPr>
      <w:t>www.iosrjournals.org</w:t>
    </w:r>
    <w:r>
      <w:rPr>
        <w:rFonts w:ascii="Times New Roman"/>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51F93"/>
    <w:multiLevelType w:val="hybridMultilevel"/>
    <w:tmpl w:val="1C58D458"/>
    <w:lvl w:ilvl="0" w:tplc="DAF814FC">
      <w:start w:val="1"/>
      <w:numFmt w:val="decimal"/>
      <w:lvlText w:val="[%1]."/>
      <w:lvlJc w:val="left"/>
      <w:pPr>
        <w:ind w:left="720" w:hanging="360"/>
      </w:pPr>
      <w:rPr>
        <w:rFonts w:hint="default"/>
      </w:rPr>
    </w:lvl>
    <w:lvl w:ilvl="1" w:tplc="4C06D720">
      <w:start w:val="1"/>
      <w:numFmt w:val="lowerLetter"/>
      <w:lvlText w:val="%2."/>
      <w:lvlJc w:val="left"/>
      <w:pPr>
        <w:ind w:left="1440" w:hanging="360"/>
      </w:pPr>
    </w:lvl>
    <w:lvl w:ilvl="2" w:tplc="9684B704">
      <w:start w:val="1"/>
      <w:numFmt w:val="lowerRoman"/>
      <w:lvlText w:val="%3."/>
      <w:lvlJc w:val="right"/>
      <w:pPr>
        <w:ind w:left="2160" w:hanging="180"/>
      </w:pPr>
    </w:lvl>
    <w:lvl w:ilvl="3" w:tplc="96F022CE">
      <w:start w:val="1"/>
      <w:numFmt w:val="decimal"/>
      <w:lvlText w:val="%4."/>
      <w:lvlJc w:val="left"/>
      <w:pPr>
        <w:ind w:left="2880" w:hanging="360"/>
      </w:pPr>
    </w:lvl>
    <w:lvl w:ilvl="4" w:tplc="8194AD94">
      <w:start w:val="1"/>
      <w:numFmt w:val="lowerLetter"/>
      <w:lvlText w:val="%5."/>
      <w:lvlJc w:val="left"/>
      <w:pPr>
        <w:ind w:left="3600" w:hanging="360"/>
      </w:pPr>
    </w:lvl>
    <w:lvl w:ilvl="5" w:tplc="8EC21BA2">
      <w:start w:val="1"/>
      <w:numFmt w:val="lowerRoman"/>
      <w:lvlText w:val="%6."/>
      <w:lvlJc w:val="right"/>
      <w:pPr>
        <w:ind w:left="4320" w:hanging="180"/>
      </w:pPr>
    </w:lvl>
    <w:lvl w:ilvl="6" w:tplc="5DB6702C">
      <w:start w:val="1"/>
      <w:numFmt w:val="decimal"/>
      <w:lvlText w:val="%7."/>
      <w:lvlJc w:val="left"/>
      <w:pPr>
        <w:ind w:left="5040" w:hanging="360"/>
      </w:pPr>
    </w:lvl>
    <w:lvl w:ilvl="7" w:tplc="D1425176">
      <w:start w:val="1"/>
      <w:numFmt w:val="lowerLetter"/>
      <w:lvlText w:val="%8."/>
      <w:lvlJc w:val="left"/>
      <w:pPr>
        <w:ind w:left="5760" w:hanging="360"/>
      </w:pPr>
    </w:lvl>
    <w:lvl w:ilvl="8" w:tplc="6E3A3F0A">
      <w:start w:val="1"/>
      <w:numFmt w:val="lowerRoman"/>
      <w:lvlText w:val="%9."/>
      <w:lvlJc w:val="right"/>
      <w:pPr>
        <w:ind w:left="6480" w:hanging="180"/>
      </w:pPr>
    </w:lvl>
  </w:abstractNum>
  <w:abstractNum w:abstractNumId="1" w15:restartNumberingAfterBreak="0">
    <w:nsid w:val="05135CDD"/>
    <w:multiLevelType w:val="hybridMultilevel"/>
    <w:tmpl w:val="96DCF97E"/>
    <w:lvl w:ilvl="0" w:tplc="44F018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00B31"/>
    <w:multiLevelType w:val="hybridMultilevel"/>
    <w:tmpl w:val="0352DFC4"/>
    <w:lvl w:ilvl="0" w:tplc="092ACF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F83020"/>
    <w:multiLevelType w:val="multilevel"/>
    <w:tmpl w:val="CBF6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D30F82"/>
    <w:multiLevelType w:val="hybridMultilevel"/>
    <w:tmpl w:val="81D8D688"/>
    <w:lvl w:ilvl="0" w:tplc="44F018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7B0F14"/>
    <w:multiLevelType w:val="hybridMultilevel"/>
    <w:tmpl w:val="09F67DA8"/>
    <w:lvl w:ilvl="0" w:tplc="13564EDA">
      <w:start w:val="1"/>
      <w:numFmt w:val="upperRoman"/>
      <w:lvlText w:val="%1."/>
      <w:lvlJc w:val="right"/>
      <w:pPr>
        <w:ind w:left="720" w:hanging="360"/>
      </w:pPr>
      <w:rPr>
        <w:sz w:val="22"/>
      </w:rPr>
    </w:lvl>
    <w:lvl w:ilvl="1" w:tplc="EC5E836C">
      <w:start w:val="1"/>
      <w:numFmt w:val="lowerLetter"/>
      <w:lvlText w:val="%2."/>
      <w:lvlJc w:val="left"/>
      <w:pPr>
        <w:ind w:left="1440" w:hanging="360"/>
      </w:pPr>
    </w:lvl>
    <w:lvl w:ilvl="2" w:tplc="4D0E7882">
      <w:start w:val="1"/>
      <w:numFmt w:val="lowerRoman"/>
      <w:lvlText w:val="%3."/>
      <w:lvlJc w:val="right"/>
      <w:pPr>
        <w:ind w:left="2160" w:hanging="180"/>
      </w:pPr>
    </w:lvl>
    <w:lvl w:ilvl="3" w:tplc="72EC4C2C">
      <w:start w:val="1"/>
      <w:numFmt w:val="decimal"/>
      <w:lvlText w:val="%4."/>
      <w:lvlJc w:val="left"/>
      <w:pPr>
        <w:ind w:left="2880" w:hanging="360"/>
      </w:pPr>
    </w:lvl>
    <w:lvl w:ilvl="4" w:tplc="88E401B0">
      <w:start w:val="1"/>
      <w:numFmt w:val="lowerLetter"/>
      <w:lvlText w:val="%5."/>
      <w:lvlJc w:val="left"/>
      <w:pPr>
        <w:ind w:left="3600" w:hanging="360"/>
      </w:pPr>
    </w:lvl>
    <w:lvl w:ilvl="5" w:tplc="052E3684">
      <w:start w:val="1"/>
      <w:numFmt w:val="lowerRoman"/>
      <w:lvlText w:val="%6."/>
      <w:lvlJc w:val="right"/>
      <w:pPr>
        <w:ind w:left="4320" w:hanging="180"/>
      </w:pPr>
    </w:lvl>
    <w:lvl w:ilvl="6" w:tplc="BC5ED894">
      <w:start w:val="1"/>
      <w:numFmt w:val="decimal"/>
      <w:lvlText w:val="%7."/>
      <w:lvlJc w:val="left"/>
      <w:pPr>
        <w:ind w:left="5040" w:hanging="360"/>
      </w:pPr>
    </w:lvl>
    <w:lvl w:ilvl="7" w:tplc="5C1C1CC8">
      <w:start w:val="1"/>
      <w:numFmt w:val="lowerLetter"/>
      <w:lvlText w:val="%8."/>
      <w:lvlJc w:val="left"/>
      <w:pPr>
        <w:ind w:left="5760" w:hanging="360"/>
      </w:pPr>
    </w:lvl>
    <w:lvl w:ilvl="8" w:tplc="8C2053D8">
      <w:start w:val="1"/>
      <w:numFmt w:val="lowerRoman"/>
      <w:lvlText w:val="%9."/>
      <w:lvlJc w:val="right"/>
      <w:pPr>
        <w:ind w:left="6480" w:hanging="180"/>
      </w:pPr>
    </w:lvl>
  </w:abstractNum>
  <w:abstractNum w:abstractNumId="6" w15:restartNumberingAfterBreak="0">
    <w:nsid w:val="4BAB16F8"/>
    <w:multiLevelType w:val="hybridMultilevel"/>
    <w:tmpl w:val="409049DE"/>
    <w:lvl w:ilvl="0" w:tplc="4B8A735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7ED73D3"/>
    <w:multiLevelType w:val="hybridMultilevel"/>
    <w:tmpl w:val="90E2D716"/>
    <w:lvl w:ilvl="0" w:tplc="9C90DEF8">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21633F"/>
    <w:multiLevelType w:val="hybridMultilevel"/>
    <w:tmpl w:val="587E7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3F357C"/>
    <w:multiLevelType w:val="hybridMultilevel"/>
    <w:tmpl w:val="2ADA79BC"/>
    <w:lvl w:ilvl="0" w:tplc="B088D9A2">
      <w:start w:val="1"/>
      <w:numFmt w:val="decimal"/>
      <w:lvlText w:val="%1."/>
      <w:lvlJc w:val="left"/>
      <w:pPr>
        <w:ind w:left="720" w:hanging="360"/>
      </w:pPr>
    </w:lvl>
    <w:lvl w:ilvl="1" w:tplc="95D46C86">
      <w:start w:val="1"/>
      <w:numFmt w:val="lowerLetter"/>
      <w:lvlText w:val="%2."/>
      <w:lvlJc w:val="left"/>
      <w:pPr>
        <w:ind w:left="1440" w:hanging="360"/>
      </w:pPr>
    </w:lvl>
    <w:lvl w:ilvl="2" w:tplc="DBB40BE0">
      <w:start w:val="1"/>
      <w:numFmt w:val="lowerRoman"/>
      <w:lvlText w:val="%3."/>
      <w:lvlJc w:val="right"/>
      <w:pPr>
        <w:ind w:left="2160" w:hanging="180"/>
      </w:pPr>
    </w:lvl>
    <w:lvl w:ilvl="3" w:tplc="D4206B2E">
      <w:start w:val="1"/>
      <w:numFmt w:val="decimal"/>
      <w:lvlText w:val="%4."/>
      <w:lvlJc w:val="left"/>
      <w:pPr>
        <w:ind w:left="2880" w:hanging="360"/>
      </w:pPr>
    </w:lvl>
    <w:lvl w:ilvl="4" w:tplc="2174E764">
      <w:start w:val="1"/>
      <w:numFmt w:val="lowerLetter"/>
      <w:lvlText w:val="%5."/>
      <w:lvlJc w:val="left"/>
      <w:pPr>
        <w:ind w:left="3600" w:hanging="360"/>
      </w:pPr>
    </w:lvl>
    <w:lvl w:ilvl="5" w:tplc="82465748">
      <w:start w:val="1"/>
      <w:numFmt w:val="lowerRoman"/>
      <w:lvlText w:val="%6."/>
      <w:lvlJc w:val="right"/>
      <w:pPr>
        <w:ind w:left="4320" w:hanging="180"/>
      </w:pPr>
    </w:lvl>
    <w:lvl w:ilvl="6" w:tplc="EE9EB2DE">
      <w:start w:val="1"/>
      <w:numFmt w:val="decimal"/>
      <w:lvlText w:val="%7."/>
      <w:lvlJc w:val="left"/>
      <w:pPr>
        <w:ind w:left="5040" w:hanging="360"/>
      </w:pPr>
    </w:lvl>
    <w:lvl w:ilvl="7" w:tplc="8CE23230">
      <w:start w:val="1"/>
      <w:numFmt w:val="lowerLetter"/>
      <w:lvlText w:val="%8."/>
      <w:lvlJc w:val="left"/>
      <w:pPr>
        <w:ind w:left="5760" w:hanging="360"/>
      </w:pPr>
    </w:lvl>
    <w:lvl w:ilvl="8" w:tplc="E4EA831E">
      <w:start w:val="1"/>
      <w:numFmt w:val="lowerRoman"/>
      <w:lvlText w:val="%9."/>
      <w:lvlJc w:val="right"/>
      <w:pPr>
        <w:ind w:left="6480" w:hanging="180"/>
      </w:pPr>
    </w:lvl>
  </w:abstractNum>
  <w:abstractNum w:abstractNumId="10" w15:restartNumberingAfterBreak="0">
    <w:nsid w:val="6FC41016"/>
    <w:multiLevelType w:val="hybridMultilevel"/>
    <w:tmpl w:val="7ECCB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1707724">
    <w:abstractNumId w:val="9"/>
  </w:num>
  <w:num w:numId="2" w16cid:durableId="248318023">
    <w:abstractNumId w:val="5"/>
  </w:num>
  <w:num w:numId="3" w16cid:durableId="94520825">
    <w:abstractNumId w:val="0"/>
  </w:num>
  <w:num w:numId="4" w16cid:durableId="504244774">
    <w:abstractNumId w:val="7"/>
  </w:num>
  <w:num w:numId="5" w16cid:durableId="2118863011">
    <w:abstractNumId w:val="6"/>
  </w:num>
  <w:num w:numId="6" w16cid:durableId="1286618563">
    <w:abstractNumId w:val="8"/>
  </w:num>
  <w:num w:numId="7" w16cid:durableId="562300607">
    <w:abstractNumId w:val="4"/>
  </w:num>
  <w:num w:numId="8" w16cid:durableId="1968506993">
    <w:abstractNumId w:val="1"/>
  </w:num>
  <w:num w:numId="9" w16cid:durableId="638993937">
    <w:abstractNumId w:val="2"/>
  </w:num>
  <w:num w:numId="10" w16cid:durableId="603270928">
    <w:abstractNumId w:val="3"/>
  </w:num>
  <w:num w:numId="11" w16cid:durableId="2818121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E22"/>
    <w:rsid w:val="00002797"/>
    <w:rsid w:val="00005661"/>
    <w:rsid w:val="00016496"/>
    <w:rsid w:val="00021D9F"/>
    <w:rsid w:val="00021FEE"/>
    <w:rsid w:val="000276A8"/>
    <w:rsid w:val="00032B0F"/>
    <w:rsid w:val="00034249"/>
    <w:rsid w:val="000359C1"/>
    <w:rsid w:val="000423E1"/>
    <w:rsid w:val="00050CEB"/>
    <w:rsid w:val="00053C4A"/>
    <w:rsid w:val="00061026"/>
    <w:rsid w:val="00061B45"/>
    <w:rsid w:val="00062A83"/>
    <w:rsid w:val="00066D1A"/>
    <w:rsid w:val="00076BC1"/>
    <w:rsid w:val="00094C3C"/>
    <w:rsid w:val="000A4F4A"/>
    <w:rsid w:val="000A583E"/>
    <w:rsid w:val="000A6F25"/>
    <w:rsid w:val="000D3808"/>
    <w:rsid w:val="000E02F8"/>
    <w:rsid w:val="000E3016"/>
    <w:rsid w:val="00104DBA"/>
    <w:rsid w:val="001148ED"/>
    <w:rsid w:val="001244EC"/>
    <w:rsid w:val="00146CEF"/>
    <w:rsid w:val="0016247B"/>
    <w:rsid w:val="001813DF"/>
    <w:rsid w:val="00191607"/>
    <w:rsid w:val="001923FE"/>
    <w:rsid w:val="00193B6D"/>
    <w:rsid w:val="001972F8"/>
    <w:rsid w:val="001A5114"/>
    <w:rsid w:val="001B049F"/>
    <w:rsid w:val="001B1C82"/>
    <w:rsid w:val="001B7C21"/>
    <w:rsid w:val="001C13A4"/>
    <w:rsid w:val="001C2F2C"/>
    <w:rsid w:val="001C4865"/>
    <w:rsid w:val="001C640F"/>
    <w:rsid w:val="001D21B3"/>
    <w:rsid w:val="001D25A9"/>
    <w:rsid w:val="001D68BF"/>
    <w:rsid w:val="001E7CA1"/>
    <w:rsid w:val="001F5143"/>
    <w:rsid w:val="002029D8"/>
    <w:rsid w:val="00214BA4"/>
    <w:rsid w:val="00214DED"/>
    <w:rsid w:val="00223511"/>
    <w:rsid w:val="00245EBF"/>
    <w:rsid w:val="002479B1"/>
    <w:rsid w:val="002521B7"/>
    <w:rsid w:val="002572BB"/>
    <w:rsid w:val="00263498"/>
    <w:rsid w:val="00266AF6"/>
    <w:rsid w:val="00271722"/>
    <w:rsid w:val="0027675E"/>
    <w:rsid w:val="00276BD7"/>
    <w:rsid w:val="00286B8D"/>
    <w:rsid w:val="00287096"/>
    <w:rsid w:val="0029416B"/>
    <w:rsid w:val="00296BAF"/>
    <w:rsid w:val="002A270E"/>
    <w:rsid w:val="002B2697"/>
    <w:rsid w:val="002C5651"/>
    <w:rsid w:val="002C59C7"/>
    <w:rsid w:val="002D3B85"/>
    <w:rsid w:val="002E01AB"/>
    <w:rsid w:val="002E1ECF"/>
    <w:rsid w:val="002F234B"/>
    <w:rsid w:val="002F7C3C"/>
    <w:rsid w:val="00303755"/>
    <w:rsid w:val="00323175"/>
    <w:rsid w:val="00331D7A"/>
    <w:rsid w:val="00344640"/>
    <w:rsid w:val="00345023"/>
    <w:rsid w:val="00365163"/>
    <w:rsid w:val="003670F0"/>
    <w:rsid w:val="00367F72"/>
    <w:rsid w:val="0037044D"/>
    <w:rsid w:val="00387F09"/>
    <w:rsid w:val="00395EF0"/>
    <w:rsid w:val="003A0B18"/>
    <w:rsid w:val="003A750B"/>
    <w:rsid w:val="003B27F9"/>
    <w:rsid w:val="003C685B"/>
    <w:rsid w:val="003D672D"/>
    <w:rsid w:val="003D7DBE"/>
    <w:rsid w:val="003F6BF5"/>
    <w:rsid w:val="00400DD1"/>
    <w:rsid w:val="00416DFC"/>
    <w:rsid w:val="004219E9"/>
    <w:rsid w:val="00422F49"/>
    <w:rsid w:val="00427D67"/>
    <w:rsid w:val="00432BC1"/>
    <w:rsid w:val="004413E4"/>
    <w:rsid w:val="00452C5D"/>
    <w:rsid w:val="00462E42"/>
    <w:rsid w:val="004704D0"/>
    <w:rsid w:val="00472CB1"/>
    <w:rsid w:val="00477E43"/>
    <w:rsid w:val="004824B7"/>
    <w:rsid w:val="0048302C"/>
    <w:rsid w:val="004861E6"/>
    <w:rsid w:val="00490C29"/>
    <w:rsid w:val="00493856"/>
    <w:rsid w:val="00497100"/>
    <w:rsid w:val="004A4E3E"/>
    <w:rsid w:val="004A51B8"/>
    <w:rsid w:val="004B266F"/>
    <w:rsid w:val="004C03B4"/>
    <w:rsid w:val="004C478E"/>
    <w:rsid w:val="004C570D"/>
    <w:rsid w:val="004C5EB6"/>
    <w:rsid w:val="004D1432"/>
    <w:rsid w:val="004E55FB"/>
    <w:rsid w:val="004F125A"/>
    <w:rsid w:val="004F5752"/>
    <w:rsid w:val="00506652"/>
    <w:rsid w:val="00511D53"/>
    <w:rsid w:val="005152CA"/>
    <w:rsid w:val="0052496A"/>
    <w:rsid w:val="00535C46"/>
    <w:rsid w:val="005370EE"/>
    <w:rsid w:val="0054449B"/>
    <w:rsid w:val="00545F78"/>
    <w:rsid w:val="0054642A"/>
    <w:rsid w:val="00546736"/>
    <w:rsid w:val="00547B87"/>
    <w:rsid w:val="00550689"/>
    <w:rsid w:val="0055239A"/>
    <w:rsid w:val="00553DDD"/>
    <w:rsid w:val="00555147"/>
    <w:rsid w:val="00555BBA"/>
    <w:rsid w:val="00561F3D"/>
    <w:rsid w:val="00580FE7"/>
    <w:rsid w:val="005879C7"/>
    <w:rsid w:val="00595641"/>
    <w:rsid w:val="0059591C"/>
    <w:rsid w:val="005A0084"/>
    <w:rsid w:val="005A23C8"/>
    <w:rsid w:val="005A4960"/>
    <w:rsid w:val="005A4D02"/>
    <w:rsid w:val="005B4E25"/>
    <w:rsid w:val="005B777B"/>
    <w:rsid w:val="005C0E2E"/>
    <w:rsid w:val="005D38FE"/>
    <w:rsid w:val="005E1F83"/>
    <w:rsid w:val="005F1CF9"/>
    <w:rsid w:val="005F4261"/>
    <w:rsid w:val="00611C34"/>
    <w:rsid w:val="00612418"/>
    <w:rsid w:val="00612794"/>
    <w:rsid w:val="0061481A"/>
    <w:rsid w:val="00626F25"/>
    <w:rsid w:val="00631E78"/>
    <w:rsid w:val="0063473D"/>
    <w:rsid w:val="00634FCE"/>
    <w:rsid w:val="00643F26"/>
    <w:rsid w:val="00646387"/>
    <w:rsid w:val="00662C04"/>
    <w:rsid w:val="00672ADF"/>
    <w:rsid w:val="00672DDC"/>
    <w:rsid w:val="00674344"/>
    <w:rsid w:val="006942E3"/>
    <w:rsid w:val="00697EAC"/>
    <w:rsid w:val="006A07DF"/>
    <w:rsid w:val="006A31B5"/>
    <w:rsid w:val="006A468E"/>
    <w:rsid w:val="006A699C"/>
    <w:rsid w:val="006B0E6F"/>
    <w:rsid w:val="006B21D5"/>
    <w:rsid w:val="006B6C73"/>
    <w:rsid w:val="006C6CD2"/>
    <w:rsid w:val="006D25E0"/>
    <w:rsid w:val="006D3F0D"/>
    <w:rsid w:val="006D75CD"/>
    <w:rsid w:val="006D784D"/>
    <w:rsid w:val="006E220C"/>
    <w:rsid w:val="006E3401"/>
    <w:rsid w:val="006E5FD8"/>
    <w:rsid w:val="006E70B4"/>
    <w:rsid w:val="006F61CC"/>
    <w:rsid w:val="007005A0"/>
    <w:rsid w:val="00714FEF"/>
    <w:rsid w:val="00732470"/>
    <w:rsid w:val="007407FD"/>
    <w:rsid w:val="00742F82"/>
    <w:rsid w:val="00744E61"/>
    <w:rsid w:val="00750B30"/>
    <w:rsid w:val="007553F8"/>
    <w:rsid w:val="00756AB9"/>
    <w:rsid w:val="00757432"/>
    <w:rsid w:val="00764412"/>
    <w:rsid w:val="007664E1"/>
    <w:rsid w:val="007670AF"/>
    <w:rsid w:val="00777498"/>
    <w:rsid w:val="0077752C"/>
    <w:rsid w:val="007776A6"/>
    <w:rsid w:val="007854A0"/>
    <w:rsid w:val="00791DD3"/>
    <w:rsid w:val="007A4B65"/>
    <w:rsid w:val="007B27D7"/>
    <w:rsid w:val="007B6B47"/>
    <w:rsid w:val="007C058E"/>
    <w:rsid w:val="007C4D98"/>
    <w:rsid w:val="007C614C"/>
    <w:rsid w:val="007D03E8"/>
    <w:rsid w:val="007D1674"/>
    <w:rsid w:val="007D2FAF"/>
    <w:rsid w:val="007E49B3"/>
    <w:rsid w:val="007F0C33"/>
    <w:rsid w:val="007F0F07"/>
    <w:rsid w:val="007F4638"/>
    <w:rsid w:val="007F7C27"/>
    <w:rsid w:val="00805DFE"/>
    <w:rsid w:val="00821E20"/>
    <w:rsid w:val="00825828"/>
    <w:rsid w:val="008261B9"/>
    <w:rsid w:val="00827CD5"/>
    <w:rsid w:val="0083269C"/>
    <w:rsid w:val="00834969"/>
    <w:rsid w:val="00837B0B"/>
    <w:rsid w:val="00842B98"/>
    <w:rsid w:val="00854E5C"/>
    <w:rsid w:val="00856472"/>
    <w:rsid w:val="008572D4"/>
    <w:rsid w:val="008575E9"/>
    <w:rsid w:val="00857F1A"/>
    <w:rsid w:val="00860A33"/>
    <w:rsid w:val="00867AD0"/>
    <w:rsid w:val="008719EA"/>
    <w:rsid w:val="0087479F"/>
    <w:rsid w:val="00880DFD"/>
    <w:rsid w:val="00882C6A"/>
    <w:rsid w:val="00883D4D"/>
    <w:rsid w:val="00891E3E"/>
    <w:rsid w:val="00893CBD"/>
    <w:rsid w:val="00895B2C"/>
    <w:rsid w:val="008A5DFD"/>
    <w:rsid w:val="008A6246"/>
    <w:rsid w:val="008A7684"/>
    <w:rsid w:val="008B4351"/>
    <w:rsid w:val="008B4E86"/>
    <w:rsid w:val="008C10A9"/>
    <w:rsid w:val="008D1CC3"/>
    <w:rsid w:val="008D4884"/>
    <w:rsid w:val="008E79F2"/>
    <w:rsid w:val="00900CB6"/>
    <w:rsid w:val="00910643"/>
    <w:rsid w:val="009118B9"/>
    <w:rsid w:val="00913966"/>
    <w:rsid w:val="00920B41"/>
    <w:rsid w:val="00926268"/>
    <w:rsid w:val="009336C9"/>
    <w:rsid w:val="00941571"/>
    <w:rsid w:val="009440A4"/>
    <w:rsid w:val="00945C41"/>
    <w:rsid w:val="009751A5"/>
    <w:rsid w:val="00976FD0"/>
    <w:rsid w:val="009834DD"/>
    <w:rsid w:val="009961AC"/>
    <w:rsid w:val="009967F8"/>
    <w:rsid w:val="009B3E22"/>
    <w:rsid w:val="009D1B30"/>
    <w:rsid w:val="009D26F9"/>
    <w:rsid w:val="009D6D00"/>
    <w:rsid w:val="009E6068"/>
    <w:rsid w:val="009F03BD"/>
    <w:rsid w:val="00A133EF"/>
    <w:rsid w:val="00A16FC1"/>
    <w:rsid w:val="00A203ED"/>
    <w:rsid w:val="00A2347E"/>
    <w:rsid w:val="00A261F8"/>
    <w:rsid w:val="00A305F2"/>
    <w:rsid w:val="00A34B4F"/>
    <w:rsid w:val="00A407CE"/>
    <w:rsid w:val="00A415BC"/>
    <w:rsid w:val="00A4566D"/>
    <w:rsid w:val="00A516D0"/>
    <w:rsid w:val="00A5347F"/>
    <w:rsid w:val="00A56F78"/>
    <w:rsid w:val="00A57CFD"/>
    <w:rsid w:val="00A618DD"/>
    <w:rsid w:val="00A67C1E"/>
    <w:rsid w:val="00A737A8"/>
    <w:rsid w:val="00A91A25"/>
    <w:rsid w:val="00AA38FB"/>
    <w:rsid w:val="00AA571B"/>
    <w:rsid w:val="00AB2F45"/>
    <w:rsid w:val="00AB41C6"/>
    <w:rsid w:val="00AB54F9"/>
    <w:rsid w:val="00AD5DFF"/>
    <w:rsid w:val="00AD778C"/>
    <w:rsid w:val="00AF6DAB"/>
    <w:rsid w:val="00B03B38"/>
    <w:rsid w:val="00B04FAB"/>
    <w:rsid w:val="00B13341"/>
    <w:rsid w:val="00B21218"/>
    <w:rsid w:val="00B31089"/>
    <w:rsid w:val="00B402A1"/>
    <w:rsid w:val="00B40603"/>
    <w:rsid w:val="00B41468"/>
    <w:rsid w:val="00B41C17"/>
    <w:rsid w:val="00B45FCD"/>
    <w:rsid w:val="00B576A1"/>
    <w:rsid w:val="00B62DBB"/>
    <w:rsid w:val="00B65318"/>
    <w:rsid w:val="00B743C0"/>
    <w:rsid w:val="00B9587C"/>
    <w:rsid w:val="00B977BF"/>
    <w:rsid w:val="00B97B6D"/>
    <w:rsid w:val="00BA613E"/>
    <w:rsid w:val="00BA6DAE"/>
    <w:rsid w:val="00BB0B1A"/>
    <w:rsid w:val="00BB5048"/>
    <w:rsid w:val="00BD458F"/>
    <w:rsid w:val="00BE113A"/>
    <w:rsid w:val="00BE2176"/>
    <w:rsid w:val="00BE7BD5"/>
    <w:rsid w:val="00BF336B"/>
    <w:rsid w:val="00C05B5D"/>
    <w:rsid w:val="00C06775"/>
    <w:rsid w:val="00C1056A"/>
    <w:rsid w:val="00C22BB5"/>
    <w:rsid w:val="00C24104"/>
    <w:rsid w:val="00C24A37"/>
    <w:rsid w:val="00C341A2"/>
    <w:rsid w:val="00C36505"/>
    <w:rsid w:val="00C876C4"/>
    <w:rsid w:val="00CA16E5"/>
    <w:rsid w:val="00CC0A30"/>
    <w:rsid w:val="00CC44E3"/>
    <w:rsid w:val="00CD22CC"/>
    <w:rsid w:val="00CF47C4"/>
    <w:rsid w:val="00CF701D"/>
    <w:rsid w:val="00D10CD7"/>
    <w:rsid w:val="00D13735"/>
    <w:rsid w:val="00D16966"/>
    <w:rsid w:val="00D17811"/>
    <w:rsid w:val="00D202AC"/>
    <w:rsid w:val="00D307BB"/>
    <w:rsid w:val="00D4035D"/>
    <w:rsid w:val="00D436F0"/>
    <w:rsid w:val="00D43A03"/>
    <w:rsid w:val="00D672A4"/>
    <w:rsid w:val="00D7134A"/>
    <w:rsid w:val="00D72E17"/>
    <w:rsid w:val="00D81592"/>
    <w:rsid w:val="00D91408"/>
    <w:rsid w:val="00DA52A0"/>
    <w:rsid w:val="00DA70E6"/>
    <w:rsid w:val="00DB2A01"/>
    <w:rsid w:val="00DB3BAD"/>
    <w:rsid w:val="00DB4CEC"/>
    <w:rsid w:val="00DC428A"/>
    <w:rsid w:val="00DC6BC6"/>
    <w:rsid w:val="00DD00FC"/>
    <w:rsid w:val="00DD34E8"/>
    <w:rsid w:val="00DD42C3"/>
    <w:rsid w:val="00DD470F"/>
    <w:rsid w:val="00DD57FD"/>
    <w:rsid w:val="00DD5BB1"/>
    <w:rsid w:val="00DD66BC"/>
    <w:rsid w:val="00DE0478"/>
    <w:rsid w:val="00DE6941"/>
    <w:rsid w:val="00DF51EC"/>
    <w:rsid w:val="00E140E9"/>
    <w:rsid w:val="00E22A49"/>
    <w:rsid w:val="00E36660"/>
    <w:rsid w:val="00E43880"/>
    <w:rsid w:val="00E765E7"/>
    <w:rsid w:val="00E82A82"/>
    <w:rsid w:val="00E84F3C"/>
    <w:rsid w:val="00E87F23"/>
    <w:rsid w:val="00E91A2D"/>
    <w:rsid w:val="00E95B5A"/>
    <w:rsid w:val="00E97E2A"/>
    <w:rsid w:val="00EA189F"/>
    <w:rsid w:val="00EA519D"/>
    <w:rsid w:val="00EB64DB"/>
    <w:rsid w:val="00EB7C8D"/>
    <w:rsid w:val="00EB7E4A"/>
    <w:rsid w:val="00EC72E7"/>
    <w:rsid w:val="00ED2FD1"/>
    <w:rsid w:val="00ED3B30"/>
    <w:rsid w:val="00ED6DE9"/>
    <w:rsid w:val="00EE3FAD"/>
    <w:rsid w:val="00EE400E"/>
    <w:rsid w:val="00EF63DC"/>
    <w:rsid w:val="00EF7285"/>
    <w:rsid w:val="00F03247"/>
    <w:rsid w:val="00F0555B"/>
    <w:rsid w:val="00F27245"/>
    <w:rsid w:val="00F31532"/>
    <w:rsid w:val="00F437F3"/>
    <w:rsid w:val="00F46D0B"/>
    <w:rsid w:val="00F527BA"/>
    <w:rsid w:val="00F61B05"/>
    <w:rsid w:val="00F620E0"/>
    <w:rsid w:val="00F67225"/>
    <w:rsid w:val="00F6777F"/>
    <w:rsid w:val="00F71635"/>
    <w:rsid w:val="00F7317B"/>
    <w:rsid w:val="00F731B5"/>
    <w:rsid w:val="00F76392"/>
    <w:rsid w:val="00F80670"/>
    <w:rsid w:val="00F81792"/>
    <w:rsid w:val="00F81B28"/>
    <w:rsid w:val="00F85F53"/>
    <w:rsid w:val="00F87F6F"/>
    <w:rsid w:val="00F90D63"/>
    <w:rsid w:val="00F92D69"/>
    <w:rsid w:val="00F936FB"/>
    <w:rsid w:val="00FB0603"/>
    <w:rsid w:val="00FC0372"/>
    <w:rsid w:val="00FC2F0C"/>
    <w:rsid w:val="00FC312D"/>
    <w:rsid w:val="00FE3A92"/>
    <w:rsid w:val="00FE6897"/>
    <w:rsid w:val="00FF506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467C"/>
  <w15:docId w15:val="{C4C4AA25-C3AF-4747-A712-7D2DEDB4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2CA"/>
  </w:style>
  <w:style w:type="paragraph" w:styleId="Heading1">
    <w:name w:val="heading 1"/>
    <w:basedOn w:val="Normal"/>
    <w:next w:val="Normal"/>
    <w:link w:val="Heading1Char"/>
    <w:uiPriority w:val="9"/>
    <w:qFormat/>
    <w:rsid w:val="007A4B6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47C4"/>
    <w:pPr>
      <w:spacing w:after="0" w:line="240" w:lineRule="auto"/>
    </w:pPr>
    <w:rPr>
      <w:rFonts w:ascii="Georgia" w:hAnsi="Georgia" w:cs="Georgia"/>
      <w:color w:val="000000"/>
      <w:sz w:val="24"/>
      <w:szCs w:val="24"/>
    </w:rPr>
  </w:style>
  <w:style w:type="character" w:customStyle="1" w:styleId="apple-converted-space">
    <w:name w:val="apple-converted-space"/>
    <w:basedOn w:val="DefaultParagraphFont"/>
    <w:rsid w:val="00CF47C4"/>
  </w:style>
  <w:style w:type="table" w:styleId="TableGrid">
    <w:name w:val="Table Grid"/>
    <w:basedOn w:val="TableNormal"/>
    <w:uiPriority w:val="59"/>
    <w:rsid w:val="00CF47C4"/>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CF4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F47C4"/>
    <w:rPr>
      <w:rFonts w:ascii="Tahoma" w:hAnsi="Tahoma" w:cs="Tahoma"/>
      <w:sz w:val="16"/>
      <w:szCs w:val="16"/>
    </w:rPr>
  </w:style>
  <w:style w:type="character" w:styleId="Emphasis">
    <w:name w:val="Emphasis"/>
    <w:basedOn w:val="DefaultParagraphFont"/>
    <w:uiPriority w:val="20"/>
    <w:qFormat/>
    <w:rsid w:val="00CF47C4"/>
    <w:rPr>
      <w:i/>
    </w:rPr>
  </w:style>
  <w:style w:type="paragraph" w:styleId="BodyText">
    <w:name w:val="Body Text"/>
    <w:basedOn w:val="Normal"/>
    <w:link w:val="BodyTextChar"/>
    <w:rsid w:val="00CF47C4"/>
    <w:pPr>
      <w:spacing w:after="0" w:line="480" w:lineRule="auto"/>
      <w:jc w:val="both"/>
    </w:pPr>
    <w:rPr>
      <w:rFonts w:ascii="Times New Roman"/>
      <w:sz w:val="24"/>
      <w:szCs w:val="24"/>
    </w:rPr>
  </w:style>
  <w:style w:type="character" w:customStyle="1" w:styleId="BodyTextChar">
    <w:name w:val="Body Text Char"/>
    <w:basedOn w:val="DefaultParagraphFont"/>
    <w:link w:val="BodyText"/>
    <w:rsid w:val="00CF47C4"/>
    <w:rPr>
      <w:rFonts w:ascii="Times New Roman" w:eastAsia="Times New Roman" w:hAnsi="Times New Roman" w:cs="Times New Roman"/>
      <w:sz w:val="24"/>
      <w:szCs w:val="24"/>
    </w:rPr>
  </w:style>
  <w:style w:type="paragraph" w:styleId="EndnoteText">
    <w:name w:val="endnote text"/>
    <w:basedOn w:val="Normal"/>
    <w:link w:val="EndnoteTextChar"/>
    <w:uiPriority w:val="99"/>
    <w:rsid w:val="00CF47C4"/>
    <w:pPr>
      <w:spacing w:after="0" w:line="240" w:lineRule="auto"/>
    </w:pPr>
    <w:rPr>
      <w:sz w:val="20"/>
      <w:szCs w:val="20"/>
    </w:rPr>
  </w:style>
  <w:style w:type="character" w:customStyle="1" w:styleId="EndnoteTextChar">
    <w:name w:val="Endnote Text Char"/>
    <w:basedOn w:val="DefaultParagraphFont"/>
    <w:link w:val="EndnoteText"/>
    <w:uiPriority w:val="99"/>
    <w:rsid w:val="00CF47C4"/>
    <w:rPr>
      <w:sz w:val="20"/>
      <w:szCs w:val="20"/>
    </w:rPr>
  </w:style>
  <w:style w:type="character" w:styleId="EndnoteReference">
    <w:name w:val="endnote reference"/>
    <w:basedOn w:val="DefaultParagraphFont"/>
    <w:uiPriority w:val="99"/>
    <w:rsid w:val="00CF47C4"/>
    <w:rPr>
      <w:vertAlign w:val="superscript"/>
    </w:rPr>
  </w:style>
  <w:style w:type="paragraph" w:styleId="Header">
    <w:name w:val="header"/>
    <w:basedOn w:val="Normal"/>
    <w:link w:val="HeaderChar"/>
    <w:uiPriority w:val="99"/>
    <w:qFormat/>
    <w:rsid w:val="00CF47C4"/>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CF47C4"/>
  </w:style>
  <w:style w:type="paragraph" w:styleId="Footer">
    <w:name w:val="footer"/>
    <w:basedOn w:val="Normal"/>
    <w:link w:val="FooterChar"/>
    <w:uiPriority w:val="99"/>
    <w:rsid w:val="00CF4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7C4"/>
  </w:style>
  <w:style w:type="paragraph" w:styleId="ListParagraph">
    <w:name w:val="List Paragraph"/>
    <w:basedOn w:val="Normal"/>
    <w:uiPriority w:val="34"/>
    <w:qFormat/>
    <w:rsid w:val="00CF47C4"/>
    <w:pPr>
      <w:ind w:left="720"/>
      <w:contextualSpacing/>
    </w:pPr>
  </w:style>
  <w:style w:type="character" w:styleId="CommentReference">
    <w:name w:val="annotation reference"/>
    <w:basedOn w:val="DefaultParagraphFont"/>
    <w:uiPriority w:val="99"/>
    <w:semiHidden/>
    <w:unhideWhenUsed/>
    <w:rsid w:val="00B402A1"/>
    <w:rPr>
      <w:sz w:val="16"/>
      <w:szCs w:val="16"/>
    </w:rPr>
  </w:style>
  <w:style w:type="paragraph" w:styleId="CommentText">
    <w:name w:val="annotation text"/>
    <w:basedOn w:val="Normal"/>
    <w:link w:val="CommentTextChar"/>
    <w:uiPriority w:val="99"/>
    <w:semiHidden/>
    <w:unhideWhenUsed/>
    <w:rsid w:val="00B402A1"/>
    <w:pPr>
      <w:spacing w:line="240" w:lineRule="auto"/>
    </w:pPr>
    <w:rPr>
      <w:sz w:val="20"/>
      <w:szCs w:val="20"/>
    </w:rPr>
  </w:style>
  <w:style w:type="character" w:customStyle="1" w:styleId="CommentTextChar">
    <w:name w:val="Comment Text Char"/>
    <w:basedOn w:val="DefaultParagraphFont"/>
    <w:link w:val="CommentText"/>
    <w:uiPriority w:val="99"/>
    <w:semiHidden/>
    <w:rsid w:val="00B402A1"/>
    <w:rPr>
      <w:sz w:val="20"/>
      <w:szCs w:val="20"/>
    </w:rPr>
  </w:style>
  <w:style w:type="paragraph" w:styleId="CommentSubject">
    <w:name w:val="annotation subject"/>
    <w:basedOn w:val="CommentText"/>
    <w:next w:val="CommentText"/>
    <w:link w:val="CommentSubjectChar"/>
    <w:uiPriority w:val="99"/>
    <w:semiHidden/>
    <w:unhideWhenUsed/>
    <w:rsid w:val="00B402A1"/>
    <w:rPr>
      <w:b/>
      <w:bCs/>
    </w:rPr>
  </w:style>
  <w:style w:type="character" w:customStyle="1" w:styleId="CommentSubjectChar">
    <w:name w:val="Comment Subject Char"/>
    <w:basedOn w:val="CommentTextChar"/>
    <w:link w:val="CommentSubject"/>
    <w:uiPriority w:val="99"/>
    <w:semiHidden/>
    <w:rsid w:val="00B402A1"/>
    <w:rPr>
      <w:b/>
      <w:bCs/>
      <w:sz w:val="20"/>
      <w:szCs w:val="20"/>
    </w:rPr>
  </w:style>
  <w:style w:type="paragraph" w:customStyle="1" w:styleId="Authors">
    <w:name w:val="Authors"/>
    <w:basedOn w:val="Normal"/>
    <w:next w:val="Normal"/>
    <w:rsid w:val="00A516D0"/>
    <w:pPr>
      <w:framePr w:w="9072" w:hSpace="187" w:vSpace="187" w:wrap="notBeside" w:vAnchor="text" w:hAnchor="page" w:xAlign="center" w:y="1"/>
      <w:autoSpaceDE w:val="0"/>
      <w:autoSpaceDN w:val="0"/>
      <w:spacing w:after="320" w:line="240" w:lineRule="auto"/>
      <w:jc w:val="center"/>
    </w:pPr>
    <w:rPr>
      <w:rFonts w:ascii="Times New Roman"/>
    </w:rPr>
  </w:style>
  <w:style w:type="character" w:styleId="Strong">
    <w:name w:val="Strong"/>
    <w:basedOn w:val="DefaultParagraphFont"/>
    <w:uiPriority w:val="22"/>
    <w:qFormat/>
    <w:rsid w:val="005152CA"/>
    <w:rPr>
      <w:b/>
      <w:bCs/>
    </w:rPr>
  </w:style>
  <w:style w:type="character" w:styleId="PlaceholderText">
    <w:name w:val="Placeholder Text"/>
    <w:basedOn w:val="DefaultParagraphFont"/>
    <w:uiPriority w:val="99"/>
    <w:semiHidden/>
    <w:rsid w:val="00B21218"/>
    <w:rPr>
      <w:color w:val="666666"/>
    </w:rPr>
  </w:style>
  <w:style w:type="character" w:customStyle="1" w:styleId="Heading1Char">
    <w:name w:val="Heading 1 Char"/>
    <w:basedOn w:val="DefaultParagraphFont"/>
    <w:link w:val="Heading1"/>
    <w:uiPriority w:val="9"/>
    <w:rsid w:val="007A4B65"/>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7A4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324210">
      <w:bodyDiv w:val="1"/>
      <w:marLeft w:val="0"/>
      <w:marRight w:val="0"/>
      <w:marTop w:val="0"/>
      <w:marBottom w:val="0"/>
      <w:divBdr>
        <w:top w:val="none" w:sz="0" w:space="0" w:color="auto"/>
        <w:left w:val="none" w:sz="0" w:space="0" w:color="auto"/>
        <w:bottom w:val="none" w:sz="0" w:space="0" w:color="auto"/>
        <w:right w:val="none" w:sz="0" w:space="0" w:color="auto"/>
      </w:divBdr>
    </w:div>
    <w:div w:id="786892156">
      <w:bodyDiv w:val="1"/>
      <w:marLeft w:val="0"/>
      <w:marRight w:val="0"/>
      <w:marTop w:val="0"/>
      <w:marBottom w:val="0"/>
      <w:divBdr>
        <w:top w:val="none" w:sz="0" w:space="0" w:color="auto"/>
        <w:left w:val="none" w:sz="0" w:space="0" w:color="auto"/>
        <w:bottom w:val="none" w:sz="0" w:space="0" w:color="auto"/>
        <w:right w:val="none" w:sz="0" w:space="0" w:color="auto"/>
      </w:divBdr>
    </w:div>
    <w:div w:id="1191382070">
      <w:bodyDiv w:val="1"/>
      <w:marLeft w:val="0"/>
      <w:marRight w:val="0"/>
      <w:marTop w:val="0"/>
      <w:marBottom w:val="0"/>
      <w:divBdr>
        <w:top w:val="none" w:sz="0" w:space="0" w:color="auto"/>
        <w:left w:val="none" w:sz="0" w:space="0" w:color="auto"/>
        <w:bottom w:val="none" w:sz="0" w:space="0" w:color="auto"/>
        <w:right w:val="none" w:sz="0" w:space="0" w:color="auto"/>
      </w:divBdr>
    </w:div>
    <w:div w:id="1200170589">
      <w:bodyDiv w:val="1"/>
      <w:marLeft w:val="0"/>
      <w:marRight w:val="0"/>
      <w:marTop w:val="0"/>
      <w:marBottom w:val="0"/>
      <w:divBdr>
        <w:top w:val="none" w:sz="0" w:space="0" w:color="auto"/>
        <w:left w:val="none" w:sz="0" w:space="0" w:color="auto"/>
        <w:bottom w:val="none" w:sz="0" w:space="0" w:color="auto"/>
        <w:right w:val="none" w:sz="0" w:space="0" w:color="auto"/>
      </w:divBdr>
    </w:div>
    <w:div w:id="168296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Met121</b:Tag>
    <b:SourceType>Report</b:SourceType>
    <b:Guid>{A71B9A47-6B01-407F-97E6-570FF7DB7359}</b:Guid>
    <b:Author>
      <b:Author>
        <b:Corporate>AG, Mettler-Toledo</b:Corporate>
      </b:Author>
    </b:Author>
    <b:Title>Moisture Analyzer Routine Testing</b:Title>
    <b:Year>2012</b:Year>
    <b:Publisher>Mettler-Toledo AG</b:Publisher>
    <b:City>Greifensee</b:City>
    <b:RefOrder>1</b:RefOrder>
  </b:Source>
  <b:Source>
    <b:Tag>Met14</b:Tag>
    <b:SourceType>Report</b:SourceType>
    <b:Guid>{AECEDDC5-30EE-48ED-8045-93E54850ACF6}</b:Guid>
    <b:Title>Method Collection ‘Pharma Excipients’</b:Title>
    <b:Year>2014</b:Year>
    <b:City>Greifensee</b:City>
    <b:Publisher>Mettler-Toledo AG</b:Publisher>
    <b:Author>
      <b:Author>
        <b:Corporate>AG, Mettler-Toledo</b:Corporate>
      </b:Author>
    </b:Author>
    <b:RefOrder>2</b:RefOrder>
  </b:Source>
  <b:Source>
    <b:Tag>Met12</b:Tag>
    <b:SourceType>Report</b:SourceType>
    <b:Guid>{4504C8D7-4046-4295-9FC2-A0E8D7E3E2F6}</b:Guid>
    <b:Author>
      <b:Author>
        <b:Corporate>AG, Mettler-Toledo</b:Corporate>
      </b:Author>
    </b:Author>
    <b:Title>Guide to Moisture Analysis</b:Title>
    <b:Year>2012</b:Year>
    <b:Publisher>Mettler-Toledo AG</b:Publisher>
    <b:City>Greifensee</b:City>
    <b:RefOrder>3</b:RefOrder>
  </b:Source>
  <b:Source>
    <b:Tag>KEI10</b:Tag>
    <b:SourceType>JournalArticle</b:SourceType>
    <b:Guid>{5A21CD10-5EF8-4D1B-8F95-2C5DBFED6746}</b:Guid>
    <b:Author>
      <b:Author>
        <b:Corporate>K. E. Ileleji, A. A. Garcia, A. R. P. Kingsly, and C. L. Clementson,</b:Corporate>
      </b:Author>
    </b:Author>
    <b:Title>"Comparison of standard moisture loss-on-drying methods for the determination of moisture content of corn distillers dried grains with solubles"</b:Title>
    <b:JournalName>J. AOAC Int.</b:JournalName>
    <b:Year>2010</b:Year>
    <b:Pages> pp. 825–832, </b:Pages>
    <b:Month>May</b:Month>
    <b:Volume>vol. 93,</b:Volume>
    <b:Issue> no. 3,</b:Issue>
    <b:DOI>doi: 10.1093/jaoac/93.3.825.</b:DOI>
    <b:RefOrder>4</b:RefOrder>
  </b:Source>
  <b:Source>
    <b:Tag>MET24</b:Tag>
    <b:SourceType>Report</b:SourceType>
    <b:Guid>{525DDDCA-2ED4-44C2-96A4-238C3A22CD6D}</b:Guid>
    <b:Author>
      <b:Author>
        <b:Corporate>METTLER TOLEDO, </b:Corporate>
      </b:Author>
    </b:Author>
    <b:Title>"Measuring Moisture in Cannabis Flower: Fast Results with Moisture Analyzers,"</b:Title>
    <b:Year>Aug. 2024.</b:Year>
    <b:URL>http://www.mt.com/moisture</b:URL>
    <b:ThesisType>Application Note 30798575B,</b:ThesisType>
    <b:RefOrder>5</b:RefOrder>
  </b:Source>
  <b:Source>
    <b:Tag>ASt24</b:Tag>
    <b:SourceType>Report</b:SourceType>
    <b:Guid>{70495B60-AA94-4F52-9521-C34B66D47141}</b:Guid>
    <b:Author>
      <b:Author>
        <b:Corporate>A. Stancik,</b:Corporate>
      </b:Author>
    </b:Author>
    <b:Title>"Comparative analysis of low-temperature vacuum drying and fast loss-on-drying methods for cannabis moisture determination," CannaSafe Labs, 2015.  Available: https://aroya.io/en/knowledge-base</b:Title>
    <b:Year>2024</b:Year>
    <b:Institution>CannaSafe Labs, 2015</b:Institution>
    <b:Pages>p.20-21</b:Pages>
    <b:ShortTitle>The AROYA Complete Guide to Drying Cannabis;</b:ShortTitle>
    <b:URL>https://aroya.io/en/knowledge-base/education-guides/drying-cannabis</b:URL>
    <b:RefOrder>6</b:RefOrder>
  </b:Source>
</b:Sources>
</file>

<file path=customXml/itemProps1.xml><?xml version="1.0" encoding="utf-8"?>
<ds:datastoreItem xmlns:ds="http://schemas.openxmlformats.org/officeDocument/2006/customXml" ds:itemID="{3FF9F162-780D-4F4F-9D9A-4292F39CD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6</Pages>
  <Words>3764</Words>
  <Characters>21460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Blagoj Nikolov</cp:lastModifiedBy>
  <cp:revision>51</cp:revision>
  <cp:lastPrinted>2025-03-03T23:13:00Z</cp:lastPrinted>
  <dcterms:created xsi:type="dcterms:W3CDTF">2025-04-10T14:00:00Z</dcterms:created>
  <dcterms:modified xsi:type="dcterms:W3CDTF">2025-04-14T11:12:00Z</dcterms:modified>
</cp:coreProperties>
</file>