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73" w:rsidRDefault="002C1C73" w:rsidP="002C1C73">
      <w:pPr>
        <w:spacing w:line="360" w:lineRule="auto"/>
        <w:jc w:val="center"/>
        <w:rPr>
          <w:rFonts w:ascii="Times New Roman" w:eastAsia="Calibri" w:hAnsi="Times New Roman" w:cs="Times New Roman"/>
          <w:b/>
          <w:sz w:val="32"/>
          <w:lang w:val="fr-FR"/>
        </w:rPr>
      </w:pPr>
    </w:p>
    <w:p w:rsidR="002C1C73" w:rsidRDefault="002C1C73" w:rsidP="002C1C73">
      <w:pPr>
        <w:spacing w:line="360" w:lineRule="auto"/>
        <w:jc w:val="center"/>
        <w:rPr>
          <w:rFonts w:ascii="Times New Roman" w:eastAsia="Calibri" w:hAnsi="Times New Roman" w:cs="Times New Roman"/>
          <w:b/>
          <w:sz w:val="32"/>
          <w:lang w:val="fr-FR"/>
        </w:rPr>
      </w:pPr>
    </w:p>
    <w:p w:rsidR="002C1C73" w:rsidRDefault="002C1C73" w:rsidP="002C1C73">
      <w:pPr>
        <w:spacing w:line="360" w:lineRule="auto"/>
        <w:jc w:val="center"/>
        <w:rPr>
          <w:rFonts w:ascii="Times New Roman" w:eastAsia="Calibri" w:hAnsi="Times New Roman" w:cs="Times New Roman"/>
          <w:b/>
          <w:sz w:val="32"/>
          <w:lang w:val="fr-FR"/>
        </w:rPr>
      </w:pPr>
    </w:p>
    <w:p w:rsidR="002C1C73" w:rsidRDefault="002C1C73" w:rsidP="002C1C73">
      <w:pPr>
        <w:spacing w:line="360" w:lineRule="auto"/>
        <w:jc w:val="center"/>
        <w:rPr>
          <w:rFonts w:ascii="Times New Roman" w:eastAsia="Calibri" w:hAnsi="Times New Roman" w:cs="Times New Roman"/>
          <w:b/>
          <w:sz w:val="32"/>
          <w:lang w:val="fr-FR"/>
        </w:rPr>
      </w:pPr>
    </w:p>
    <w:p w:rsidR="002C1C73" w:rsidRDefault="002C1C73" w:rsidP="002C1C73">
      <w:pPr>
        <w:spacing w:line="360" w:lineRule="auto"/>
        <w:jc w:val="center"/>
        <w:rPr>
          <w:rFonts w:ascii="Times New Roman" w:eastAsia="Calibri" w:hAnsi="Times New Roman" w:cs="Times New Roman"/>
          <w:b/>
          <w:sz w:val="32"/>
          <w:lang w:val="fr-FR"/>
        </w:rPr>
      </w:pPr>
    </w:p>
    <w:p w:rsidR="002C1C73" w:rsidRDefault="002C1C73" w:rsidP="002C1C73">
      <w:pPr>
        <w:spacing w:line="360" w:lineRule="auto"/>
        <w:jc w:val="center"/>
        <w:rPr>
          <w:rFonts w:ascii="Times New Roman" w:eastAsia="Calibri" w:hAnsi="Times New Roman" w:cs="Times New Roman"/>
          <w:b/>
          <w:sz w:val="32"/>
          <w:lang w:val="fr-FR"/>
        </w:rPr>
      </w:pPr>
      <w:r w:rsidRPr="00D87D7B">
        <w:rPr>
          <w:rFonts w:ascii="Times New Roman" w:eastAsia="Calibri" w:hAnsi="Times New Roman" w:cs="Times New Roman"/>
          <w:b/>
          <w:sz w:val="32"/>
          <w:lang w:val="fr-FR"/>
        </w:rPr>
        <w:t xml:space="preserve">Formulation de gélules à visée antidiabétique à base du rhizome de </w:t>
      </w:r>
      <w:proofErr w:type="spellStart"/>
      <w:r w:rsidRPr="00D87D7B">
        <w:rPr>
          <w:rFonts w:ascii="Times New Roman" w:eastAsia="Calibri" w:hAnsi="Times New Roman" w:cs="Times New Roman"/>
          <w:b/>
          <w:i/>
          <w:sz w:val="32"/>
          <w:lang w:val="fr-FR"/>
        </w:rPr>
        <w:t>Zingiber</w:t>
      </w:r>
      <w:proofErr w:type="spellEnd"/>
      <w:r w:rsidRPr="00D87D7B">
        <w:rPr>
          <w:rFonts w:ascii="Times New Roman" w:eastAsia="Calibri" w:hAnsi="Times New Roman" w:cs="Times New Roman"/>
          <w:b/>
          <w:i/>
          <w:sz w:val="32"/>
          <w:lang w:val="fr-FR"/>
        </w:rPr>
        <w:t xml:space="preserve"> officinale</w:t>
      </w:r>
      <w:r w:rsidRPr="00D87D7B">
        <w:rPr>
          <w:rFonts w:ascii="Times New Roman" w:eastAsia="Calibri" w:hAnsi="Times New Roman" w:cs="Times New Roman"/>
          <w:b/>
          <w:sz w:val="32"/>
          <w:lang w:val="fr-FR"/>
        </w:rPr>
        <w:t xml:space="preserve">, </w:t>
      </w:r>
      <w:proofErr w:type="spellStart"/>
      <w:r w:rsidRPr="00D87D7B">
        <w:rPr>
          <w:rFonts w:ascii="Times New Roman" w:eastAsia="Calibri" w:hAnsi="Times New Roman" w:cs="Times New Roman"/>
          <w:b/>
          <w:sz w:val="32"/>
          <w:lang w:val="fr-FR"/>
        </w:rPr>
        <w:t>Zingiberaceae</w:t>
      </w:r>
      <w:proofErr w:type="spellEnd"/>
      <w:r w:rsidRPr="00D87D7B">
        <w:rPr>
          <w:rFonts w:ascii="Times New Roman" w:eastAsia="Calibri" w:hAnsi="Times New Roman" w:cs="Times New Roman"/>
          <w:b/>
          <w:sz w:val="32"/>
          <w:lang w:val="fr-FR"/>
        </w:rPr>
        <w:t xml:space="preserve"> (gingembre)</w:t>
      </w:r>
    </w:p>
    <w:p w:rsidR="002C1C73" w:rsidRDefault="002C1C73" w:rsidP="002C1C73">
      <w:pPr>
        <w:spacing w:line="360" w:lineRule="auto"/>
        <w:jc w:val="both"/>
        <w:rPr>
          <w:rFonts w:ascii="Times New Roman" w:eastAsia="Calibri" w:hAnsi="Times New Roman" w:cs="Times New Roman"/>
          <w:i/>
          <w:sz w:val="20"/>
          <w:szCs w:val="20"/>
          <w:lang w:val="fr-FR"/>
        </w:rPr>
      </w:pPr>
      <w:r w:rsidRPr="002C1C73">
        <w:rPr>
          <w:rFonts w:ascii="Times New Roman" w:eastAsia="Calibri" w:hAnsi="Times New Roman" w:cs="Times New Roman"/>
          <w:i/>
          <w:sz w:val="20"/>
          <w:szCs w:val="20"/>
          <w:lang w:val="fr-FR"/>
        </w:rPr>
        <w:t xml:space="preserve">MEULAPI NOUMBISSI Thierry </w:t>
      </w:r>
      <w:r w:rsidRPr="002C1C73">
        <w:rPr>
          <w:rFonts w:ascii="Times New Roman" w:eastAsia="Calibri" w:hAnsi="Times New Roman" w:cs="Times New Roman"/>
          <w:i/>
          <w:sz w:val="20"/>
          <w:szCs w:val="20"/>
          <w:vertAlign w:val="superscript"/>
          <w:lang w:val="fr-FR"/>
        </w:rPr>
        <w:t>1</w:t>
      </w:r>
      <w:r w:rsidRPr="002C1C73">
        <w:rPr>
          <w:rFonts w:ascii="Times New Roman" w:eastAsia="Calibri" w:hAnsi="Times New Roman" w:cs="Times New Roman"/>
          <w:i/>
          <w:sz w:val="20"/>
          <w:szCs w:val="20"/>
          <w:lang w:val="fr-FR"/>
        </w:rPr>
        <w:t xml:space="preserve">, DJOKO Ernest </w:t>
      </w:r>
      <w:r w:rsidRPr="002C1C73">
        <w:rPr>
          <w:rFonts w:ascii="Times New Roman" w:eastAsia="Calibri" w:hAnsi="Times New Roman" w:cs="Times New Roman"/>
          <w:i/>
          <w:sz w:val="20"/>
          <w:szCs w:val="20"/>
          <w:vertAlign w:val="superscript"/>
          <w:lang w:val="fr-FR"/>
        </w:rPr>
        <w:t>1</w:t>
      </w:r>
      <w:r w:rsidRPr="002C1C73">
        <w:rPr>
          <w:rFonts w:ascii="Times New Roman" w:eastAsia="Calibri" w:hAnsi="Times New Roman" w:cs="Times New Roman"/>
          <w:i/>
          <w:sz w:val="20"/>
          <w:szCs w:val="20"/>
          <w:lang w:val="fr-FR"/>
        </w:rPr>
        <w:t>, FOTSING KWETCHE Pierre</w:t>
      </w:r>
      <w:r w:rsidRPr="002C1C73">
        <w:rPr>
          <w:rFonts w:ascii="Times New Roman" w:eastAsia="Calibri" w:hAnsi="Times New Roman" w:cs="Times New Roman"/>
          <w:i/>
          <w:sz w:val="20"/>
          <w:szCs w:val="20"/>
          <w:vertAlign w:val="superscript"/>
          <w:lang w:val="fr-FR"/>
        </w:rPr>
        <w:t>2</w:t>
      </w:r>
      <w:r w:rsidRPr="002C1C73">
        <w:rPr>
          <w:rFonts w:ascii="Times New Roman" w:eastAsia="Calibri" w:hAnsi="Times New Roman" w:cs="Times New Roman"/>
          <w:i/>
          <w:sz w:val="20"/>
          <w:szCs w:val="20"/>
          <w:lang w:val="fr-FR"/>
        </w:rPr>
        <w:t xml:space="preserve"> </w:t>
      </w:r>
    </w:p>
    <w:p w:rsidR="002C1C73" w:rsidRPr="002C1C73" w:rsidRDefault="002C1C73" w:rsidP="002C1C73">
      <w:pPr>
        <w:spacing w:line="360" w:lineRule="auto"/>
        <w:jc w:val="both"/>
        <w:rPr>
          <w:rFonts w:ascii="Times New Roman" w:eastAsia="Calibri" w:hAnsi="Times New Roman" w:cs="Times New Roman"/>
          <w:i/>
          <w:sz w:val="20"/>
          <w:szCs w:val="20"/>
          <w:lang w:val="fr-FR"/>
        </w:rPr>
      </w:pPr>
    </w:p>
    <w:p w:rsidR="002C1C73" w:rsidRPr="002C1C73" w:rsidRDefault="002C1C73" w:rsidP="002C1C73">
      <w:pPr>
        <w:spacing w:line="360" w:lineRule="auto"/>
        <w:jc w:val="both"/>
        <w:rPr>
          <w:rFonts w:ascii="Times New Roman" w:eastAsia="Calibri" w:hAnsi="Times New Roman" w:cs="Times New Roman"/>
          <w:i/>
          <w:sz w:val="20"/>
          <w:szCs w:val="20"/>
          <w:lang w:val="fr-FR"/>
        </w:rPr>
      </w:pPr>
      <w:r w:rsidRPr="002C1C73">
        <w:rPr>
          <w:rFonts w:ascii="Times New Roman" w:eastAsia="Calibri" w:hAnsi="Times New Roman" w:cs="Times New Roman"/>
          <w:i/>
          <w:sz w:val="20"/>
          <w:szCs w:val="20"/>
          <w:vertAlign w:val="superscript"/>
          <w:lang w:val="fr-FR"/>
        </w:rPr>
        <w:t xml:space="preserve">1 </w:t>
      </w:r>
      <w:r w:rsidRPr="002C1C73">
        <w:rPr>
          <w:rFonts w:ascii="Times New Roman" w:eastAsia="Calibri" w:hAnsi="Times New Roman" w:cs="Times New Roman"/>
          <w:i/>
          <w:sz w:val="20"/>
          <w:szCs w:val="20"/>
          <w:lang w:val="fr-FR"/>
        </w:rPr>
        <w:t xml:space="preserve">Laboratoire de Pharmacie galénique, Département de Pharmacie, Université des Montagnes, </w:t>
      </w:r>
      <w:proofErr w:type="spellStart"/>
      <w:r w:rsidRPr="002C1C73">
        <w:rPr>
          <w:rFonts w:ascii="Times New Roman" w:eastAsia="Calibri" w:hAnsi="Times New Roman" w:cs="Times New Roman"/>
          <w:i/>
          <w:sz w:val="20"/>
          <w:szCs w:val="20"/>
          <w:lang w:val="fr-FR"/>
        </w:rPr>
        <w:t>Bangangté</w:t>
      </w:r>
      <w:proofErr w:type="spellEnd"/>
      <w:r w:rsidRPr="002C1C73">
        <w:rPr>
          <w:rFonts w:ascii="Times New Roman" w:eastAsia="Calibri" w:hAnsi="Times New Roman" w:cs="Times New Roman"/>
          <w:i/>
          <w:sz w:val="20"/>
          <w:szCs w:val="20"/>
          <w:lang w:val="fr-FR"/>
        </w:rPr>
        <w:t>, Cameroun.</w:t>
      </w:r>
    </w:p>
    <w:p w:rsidR="002C1C73" w:rsidRPr="002C1C73" w:rsidRDefault="002C1C73" w:rsidP="002C1C73">
      <w:pPr>
        <w:spacing w:line="360" w:lineRule="auto"/>
        <w:jc w:val="both"/>
        <w:rPr>
          <w:rFonts w:ascii="Times New Roman" w:eastAsia="Calibri" w:hAnsi="Times New Roman" w:cs="Times New Roman"/>
          <w:i/>
          <w:sz w:val="20"/>
          <w:szCs w:val="20"/>
          <w:lang w:val="fr-FR"/>
        </w:rPr>
      </w:pPr>
      <w:r w:rsidRPr="002C1C73">
        <w:rPr>
          <w:rFonts w:ascii="Times New Roman" w:eastAsia="Calibri" w:hAnsi="Times New Roman" w:cs="Times New Roman"/>
          <w:i/>
          <w:sz w:val="20"/>
          <w:szCs w:val="20"/>
          <w:vertAlign w:val="superscript"/>
          <w:lang w:val="fr-FR"/>
        </w:rPr>
        <w:t>2</w:t>
      </w:r>
      <w:r w:rsidRPr="002C1C73">
        <w:rPr>
          <w:rFonts w:ascii="Times New Roman" w:eastAsia="Calibri" w:hAnsi="Times New Roman" w:cs="Times New Roman"/>
          <w:i/>
          <w:sz w:val="20"/>
          <w:szCs w:val="20"/>
          <w:lang w:val="fr-FR"/>
        </w:rPr>
        <w:t xml:space="preserve"> Laboratoire de Microbiologie, Département de Pharmacie, Université des Montagnes, </w:t>
      </w:r>
      <w:proofErr w:type="spellStart"/>
      <w:r w:rsidRPr="002C1C73">
        <w:rPr>
          <w:rFonts w:ascii="Times New Roman" w:eastAsia="Calibri" w:hAnsi="Times New Roman" w:cs="Times New Roman"/>
          <w:i/>
          <w:sz w:val="20"/>
          <w:szCs w:val="20"/>
          <w:lang w:val="fr-FR"/>
        </w:rPr>
        <w:t>Bangangté</w:t>
      </w:r>
      <w:proofErr w:type="spellEnd"/>
      <w:r w:rsidRPr="002C1C73">
        <w:rPr>
          <w:rFonts w:ascii="Times New Roman" w:eastAsia="Calibri" w:hAnsi="Times New Roman" w:cs="Times New Roman"/>
          <w:i/>
          <w:sz w:val="20"/>
          <w:szCs w:val="20"/>
          <w:lang w:val="fr-FR"/>
        </w:rPr>
        <w:t>, Cameroun.</w:t>
      </w:r>
    </w:p>
    <w:p w:rsidR="002C1C73" w:rsidRDefault="002C1C73" w:rsidP="002C1C73">
      <w:pPr>
        <w:spacing w:line="360" w:lineRule="auto"/>
        <w:rPr>
          <w:rFonts w:ascii="Times New Roman" w:eastAsia="Calibri" w:hAnsi="Times New Roman" w:cs="Times New Roman"/>
          <w:sz w:val="24"/>
          <w:szCs w:val="24"/>
          <w:lang w:val="fr-FR"/>
        </w:rPr>
      </w:pPr>
      <w:bookmarkStart w:id="0" w:name="_Toc168503741"/>
      <w:bookmarkStart w:id="1" w:name="_Toc169354882"/>
    </w:p>
    <w:p w:rsidR="002C1C73" w:rsidRPr="00D87D7B" w:rsidRDefault="002C1C73" w:rsidP="002C1C73">
      <w:pPr>
        <w:spacing w:line="360" w:lineRule="auto"/>
        <w:rPr>
          <w:rFonts w:ascii="Times New Roman" w:eastAsia="Calibri" w:hAnsi="Times New Roman" w:cs="Times New Roman"/>
          <w:sz w:val="24"/>
          <w:szCs w:val="24"/>
          <w:lang w:val="fr-FR"/>
        </w:rPr>
      </w:pPr>
    </w:p>
    <w:p w:rsidR="002C1C73" w:rsidRPr="00D87D7B" w:rsidRDefault="002C1C73" w:rsidP="002C1C73">
      <w:pPr>
        <w:spacing w:line="360" w:lineRule="auto"/>
        <w:rPr>
          <w:rFonts w:ascii="Times New Roman" w:eastAsia="Calibri" w:hAnsi="Times New Roman" w:cs="Times New Roman"/>
          <w:b/>
          <w:sz w:val="24"/>
          <w:szCs w:val="24"/>
          <w:lang w:val="fr-FR"/>
        </w:rPr>
      </w:pPr>
      <w:r w:rsidRPr="00D87D7B">
        <w:rPr>
          <w:rFonts w:ascii="Times New Roman" w:eastAsia="Calibri" w:hAnsi="Times New Roman" w:cs="Times New Roman"/>
          <w:sz w:val="24"/>
          <w:szCs w:val="24"/>
          <w:lang w:val="fr-FR"/>
        </w:rPr>
        <w:t>Auteur correspondant </w:t>
      </w:r>
      <w:r w:rsidRPr="00D87D7B">
        <w:rPr>
          <w:rFonts w:ascii="Times New Roman" w:eastAsia="Calibri" w:hAnsi="Times New Roman" w:cs="Times New Roman"/>
          <w:b/>
          <w:sz w:val="24"/>
          <w:szCs w:val="24"/>
          <w:lang w:val="fr-FR"/>
        </w:rPr>
        <w:t xml:space="preserve">: DJOKO Ernest   </w:t>
      </w:r>
      <w:r w:rsidRPr="00D87D7B">
        <w:rPr>
          <w:rFonts w:ascii="Times New Roman" w:eastAsia="Calibri" w:hAnsi="Times New Roman" w:cs="Times New Roman"/>
          <w:sz w:val="24"/>
          <w:szCs w:val="24"/>
          <w:lang w:val="fr-FR"/>
        </w:rPr>
        <w:t xml:space="preserve"> Tel : </w:t>
      </w:r>
      <w:r w:rsidRPr="00D87D7B">
        <w:rPr>
          <w:rFonts w:ascii="Times New Roman" w:eastAsia="Calibri" w:hAnsi="Times New Roman" w:cs="Times New Roman"/>
          <w:b/>
          <w:sz w:val="24"/>
          <w:szCs w:val="24"/>
          <w:lang w:val="fr-FR"/>
        </w:rPr>
        <w:t xml:space="preserve">+237 691144928    </w:t>
      </w:r>
    </w:p>
    <w:p w:rsidR="002C1C73" w:rsidRPr="00D87D7B" w:rsidRDefault="002C1C73" w:rsidP="002C1C73">
      <w:pPr>
        <w:spacing w:line="360" w:lineRule="auto"/>
        <w:rPr>
          <w:rFonts w:ascii="Times New Roman" w:eastAsia="Calibri" w:hAnsi="Times New Roman" w:cs="Times New Roman"/>
          <w:b/>
          <w:sz w:val="24"/>
          <w:szCs w:val="24"/>
          <w:lang w:val="fr-FR"/>
        </w:rPr>
      </w:pPr>
      <w:r w:rsidRPr="00D87D7B">
        <w:rPr>
          <w:rFonts w:ascii="Times New Roman" w:eastAsia="Calibri" w:hAnsi="Times New Roman" w:cs="Times New Roman"/>
          <w:b/>
          <w:sz w:val="24"/>
          <w:szCs w:val="24"/>
          <w:lang w:val="fr-FR"/>
        </w:rPr>
        <w:t xml:space="preserve">                                                                    </w:t>
      </w:r>
      <w:r w:rsidRPr="00D87D7B">
        <w:rPr>
          <w:rFonts w:ascii="Times New Roman" w:eastAsia="Calibri" w:hAnsi="Times New Roman" w:cs="Times New Roman"/>
          <w:sz w:val="24"/>
          <w:szCs w:val="24"/>
          <w:lang w:val="fr-FR"/>
        </w:rPr>
        <w:t>email</w:t>
      </w:r>
      <w:r w:rsidRPr="00D87D7B">
        <w:rPr>
          <w:rFonts w:ascii="Times New Roman" w:eastAsia="Calibri" w:hAnsi="Times New Roman" w:cs="Times New Roman"/>
          <w:b/>
          <w:sz w:val="24"/>
          <w:szCs w:val="24"/>
          <w:lang w:val="fr-FR"/>
        </w:rPr>
        <w:t xml:space="preserve"> : </w:t>
      </w:r>
      <w:hyperlink r:id="rId7" w:history="1">
        <w:r w:rsidRPr="005460AA">
          <w:rPr>
            <w:rStyle w:val="Lienhypertexte"/>
            <w:rFonts w:ascii="Times New Roman" w:eastAsia="Calibri" w:hAnsi="Times New Roman" w:cs="Times New Roman"/>
            <w:b/>
            <w:sz w:val="24"/>
            <w:szCs w:val="24"/>
            <w:lang w:val="fr-FR"/>
          </w:rPr>
          <w:t>edjoko16@gmail.com</w:t>
        </w:r>
      </w:hyperlink>
      <w:r>
        <w:rPr>
          <w:rFonts w:ascii="Times New Roman" w:eastAsia="Calibri" w:hAnsi="Times New Roman" w:cs="Times New Roman"/>
          <w:b/>
          <w:sz w:val="24"/>
          <w:szCs w:val="24"/>
          <w:lang w:val="fr-FR"/>
        </w:rPr>
        <w:t xml:space="preserve"> </w:t>
      </w:r>
    </w:p>
    <w:p w:rsidR="002C1C73" w:rsidRPr="00D87D7B" w:rsidRDefault="002C1C73" w:rsidP="002C1C73">
      <w:pPr>
        <w:spacing w:line="360" w:lineRule="auto"/>
        <w:rPr>
          <w:rFonts w:ascii="Times New Roman" w:eastAsia="Calibri" w:hAnsi="Times New Roman" w:cs="Times New Roman"/>
          <w:sz w:val="24"/>
          <w:szCs w:val="24"/>
          <w:lang w:val="fr-FR"/>
        </w:rPr>
      </w:pPr>
    </w:p>
    <w:p w:rsidR="002C1C73" w:rsidRPr="00D87D7B" w:rsidRDefault="002C1C73" w:rsidP="002C1C73">
      <w:pPr>
        <w:spacing w:line="360" w:lineRule="auto"/>
        <w:rPr>
          <w:rFonts w:ascii="Times New Roman" w:eastAsia="Calibri" w:hAnsi="Times New Roman" w:cs="Times New Roman"/>
          <w:sz w:val="24"/>
          <w:szCs w:val="24"/>
          <w:lang w:val="fr-FR"/>
        </w:rPr>
      </w:pPr>
    </w:p>
    <w:p w:rsidR="002C1C73" w:rsidRDefault="002C1C73" w:rsidP="002C1C73">
      <w:pPr>
        <w:rPr>
          <w:rFonts w:ascii="Times New Roman" w:eastAsia="Calibri" w:hAnsi="Times New Roman" w:cs="Times New Roman"/>
          <w:b/>
          <w:sz w:val="28"/>
          <w:lang w:val="fr-FR"/>
        </w:rPr>
      </w:pPr>
      <w:r>
        <w:rPr>
          <w:rFonts w:ascii="Times New Roman" w:eastAsia="Calibri" w:hAnsi="Times New Roman" w:cs="Times New Roman"/>
          <w:b/>
          <w:sz w:val="28"/>
          <w:lang w:val="fr-FR"/>
        </w:rPr>
        <w:br w:type="page"/>
      </w:r>
    </w:p>
    <w:p w:rsidR="002C1C73" w:rsidRPr="002C1C73" w:rsidRDefault="002C1C73" w:rsidP="002C1C73">
      <w:pPr>
        <w:spacing w:line="360" w:lineRule="auto"/>
        <w:rPr>
          <w:rFonts w:ascii="Times New Roman" w:eastAsia="Calibri" w:hAnsi="Times New Roman" w:cs="Times New Roman"/>
          <w:b/>
          <w:lang w:val="fr-FR"/>
        </w:rPr>
      </w:pPr>
      <w:r w:rsidRPr="002C1C73">
        <w:rPr>
          <w:rFonts w:ascii="Times New Roman" w:eastAsia="Calibri" w:hAnsi="Times New Roman" w:cs="Times New Roman"/>
          <w:b/>
          <w:lang w:val="fr-FR"/>
        </w:rPr>
        <w:lastRenderedPageBreak/>
        <w:t>Résum</w:t>
      </w:r>
      <w:bookmarkEnd w:id="0"/>
      <w:bookmarkEnd w:id="1"/>
      <w:r w:rsidRPr="002C1C73">
        <w:rPr>
          <w:rFonts w:ascii="Times New Roman" w:eastAsia="Calibri" w:hAnsi="Times New Roman" w:cs="Times New Roman"/>
          <w:b/>
          <w:lang w:val="fr-FR"/>
        </w:rPr>
        <w:t>é :</w:t>
      </w:r>
    </w:p>
    <w:p w:rsidR="002C1C73" w:rsidRPr="002C1C73" w:rsidRDefault="002C1C73" w:rsidP="002C1C73">
      <w:pPr>
        <w:spacing w:line="360" w:lineRule="auto"/>
        <w:ind w:firstLine="708"/>
        <w:jc w:val="both"/>
        <w:rPr>
          <w:rFonts w:ascii="Times New Roman" w:eastAsia="Calibri" w:hAnsi="Times New Roman" w:cs="Times New Roman"/>
          <w:sz w:val="20"/>
          <w:szCs w:val="20"/>
          <w:lang w:val="fr-FR"/>
        </w:rPr>
      </w:pPr>
      <w:r w:rsidRPr="002C1C73">
        <w:rPr>
          <w:rFonts w:ascii="Times New Roman" w:eastAsia="Calibri" w:hAnsi="Times New Roman" w:cs="Times New Roman"/>
          <w:sz w:val="20"/>
          <w:szCs w:val="20"/>
          <w:lang w:val="fr-FR"/>
        </w:rPr>
        <w:t xml:space="preserve">Le diabète sucré est un trouble métabolique caractérisé par une hyperglycémie due à un défaut de la sécrétion d'insuline et/ou de l'action de l'insuline. Au Cameroun, la prévalence du diabète est estimée à 6 %. Son traitement repose principalement sur des médicaments coûteux et présentant des effets indésirables. Par conséquent, il est important de chercher de nouveaux médicaments qui soient bien tolérés et peu coûteux pour les populations. La présente étude visait à formuler des gélules antidiabétiques à base du rhizome de </w:t>
      </w:r>
      <w:proofErr w:type="spellStart"/>
      <w:r w:rsidRPr="002C1C73">
        <w:rPr>
          <w:rFonts w:ascii="Times New Roman" w:eastAsia="Calibri" w:hAnsi="Times New Roman" w:cs="Times New Roman"/>
          <w:i/>
          <w:iCs/>
          <w:sz w:val="20"/>
          <w:szCs w:val="20"/>
          <w:lang w:val="fr-FR"/>
        </w:rPr>
        <w:t>Zingiber</w:t>
      </w:r>
      <w:proofErr w:type="spellEnd"/>
      <w:r w:rsidRPr="002C1C73">
        <w:rPr>
          <w:rFonts w:ascii="Times New Roman" w:eastAsia="Calibri" w:hAnsi="Times New Roman" w:cs="Times New Roman"/>
          <w:i/>
          <w:iCs/>
          <w:sz w:val="20"/>
          <w:szCs w:val="20"/>
          <w:lang w:val="fr-FR"/>
        </w:rPr>
        <w:t xml:space="preserve"> officinale</w:t>
      </w:r>
      <w:r w:rsidRPr="002C1C73">
        <w:rPr>
          <w:rFonts w:ascii="Times New Roman" w:eastAsia="Calibri" w:hAnsi="Times New Roman" w:cs="Times New Roman"/>
          <w:sz w:val="20"/>
          <w:szCs w:val="20"/>
          <w:lang w:val="fr-FR"/>
        </w:rPr>
        <w:t xml:space="preserve">. Les rhizomes ont été nettoyés, découpés et séchés à l’étuve à 50°C puis écrasés finement afin d’obtenir une poudre brute. Une partie de cette poudre a été soumise à macération dans de l’eau en vue de préparer un extrait pulvérulent aqueux. Une autre partie a été utilisée telle </w:t>
      </w:r>
      <w:proofErr w:type="gramStart"/>
      <w:r w:rsidRPr="002C1C73">
        <w:rPr>
          <w:rFonts w:ascii="Times New Roman" w:eastAsia="Calibri" w:hAnsi="Times New Roman" w:cs="Times New Roman"/>
          <w:sz w:val="20"/>
          <w:szCs w:val="20"/>
          <w:lang w:val="fr-FR"/>
        </w:rPr>
        <w:t>quelle car susceptible</w:t>
      </w:r>
      <w:proofErr w:type="gramEnd"/>
      <w:r w:rsidRPr="002C1C73">
        <w:rPr>
          <w:rFonts w:ascii="Times New Roman" w:eastAsia="Calibri" w:hAnsi="Times New Roman" w:cs="Times New Roman"/>
          <w:sz w:val="20"/>
          <w:szCs w:val="20"/>
          <w:lang w:val="fr-FR"/>
        </w:rPr>
        <w:t xml:space="preserve"> d’être mise en gélule. L’examen de la composition </w:t>
      </w:r>
      <w:proofErr w:type="spellStart"/>
      <w:r w:rsidRPr="002C1C73">
        <w:rPr>
          <w:rFonts w:ascii="Times New Roman" w:eastAsia="Calibri" w:hAnsi="Times New Roman" w:cs="Times New Roman"/>
          <w:sz w:val="20"/>
          <w:szCs w:val="20"/>
          <w:lang w:val="fr-FR"/>
        </w:rPr>
        <w:t>phytochimique</w:t>
      </w:r>
      <w:proofErr w:type="spellEnd"/>
      <w:r w:rsidRPr="002C1C73">
        <w:rPr>
          <w:rFonts w:ascii="Times New Roman" w:eastAsia="Calibri" w:hAnsi="Times New Roman" w:cs="Times New Roman"/>
          <w:sz w:val="20"/>
          <w:szCs w:val="20"/>
          <w:lang w:val="fr-FR"/>
        </w:rPr>
        <w:t xml:space="preserve"> et du comportement rhéologique des deux poudres a permis de sélectionner celle à utiliser pour les gélules. Plusieurs formules ont été testées et des gélules ont été confectionnées et contrôlées sur le plan </w:t>
      </w:r>
      <w:proofErr w:type="spellStart"/>
      <w:r w:rsidRPr="002C1C73">
        <w:rPr>
          <w:rFonts w:ascii="Times New Roman" w:eastAsia="Calibri" w:hAnsi="Times New Roman" w:cs="Times New Roman"/>
          <w:sz w:val="20"/>
          <w:szCs w:val="20"/>
          <w:lang w:val="fr-FR"/>
        </w:rPr>
        <w:t>pharmacotechnique</w:t>
      </w:r>
      <w:proofErr w:type="spellEnd"/>
      <w:r w:rsidRPr="002C1C73">
        <w:rPr>
          <w:rFonts w:ascii="Times New Roman" w:eastAsia="Calibri" w:hAnsi="Times New Roman" w:cs="Times New Roman"/>
          <w:sz w:val="20"/>
          <w:szCs w:val="20"/>
          <w:lang w:val="fr-FR"/>
        </w:rPr>
        <w:t xml:space="preserve"> et microbiologique. L’extrait aqueux pulvérulent a été obtenu avec un rendement de 12%. A la différence de la poudre brute, cet extrait ne contenait pas de saponines. Les deux poudres contenaient des flavonoïdes, des alcaloïdes et des polyphénols (74,47 mg E</w:t>
      </w:r>
      <w:r>
        <w:rPr>
          <w:rFonts w:ascii="Times New Roman" w:eastAsia="Calibri" w:hAnsi="Times New Roman" w:cs="Times New Roman"/>
          <w:sz w:val="20"/>
          <w:szCs w:val="20"/>
          <w:lang w:val="fr-FR"/>
        </w:rPr>
        <w:t xml:space="preserve">quivalent </w:t>
      </w:r>
      <w:r w:rsidRPr="002C1C73">
        <w:rPr>
          <w:rFonts w:ascii="Times New Roman" w:eastAsia="Calibri" w:hAnsi="Times New Roman" w:cs="Times New Roman"/>
          <w:sz w:val="20"/>
          <w:szCs w:val="20"/>
          <w:lang w:val="fr-FR"/>
        </w:rPr>
        <w:t>A</w:t>
      </w:r>
      <w:r>
        <w:rPr>
          <w:rFonts w:ascii="Times New Roman" w:eastAsia="Calibri" w:hAnsi="Times New Roman" w:cs="Times New Roman"/>
          <w:sz w:val="20"/>
          <w:szCs w:val="20"/>
          <w:lang w:val="fr-FR"/>
        </w:rPr>
        <w:t xml:space="preserve">cide </w:t>
      </w:r>
      <w:r w:rsidRPr="002C1C73">
        <w:rPr>
          <w:rFonts w:ascii="Times New Roman" w:eastAsia="Calibri" w:hAnsi="Times New Roman" w:cs="Times New Roman"/>
          <w:sz w:val="20"/>
          <w:szCs w:val="20"/>
          <w:lang w:val="fr-FR"/>
        </w:rPr>
        <w:t>G</w:t>
      </w:r>
      <w:r>
        <w:rPr>
          <w:rFonts w:ascii="Times New Roman" w:eastAsia="Calibri" w:hAnsi="Times New Roman" w:cs="Times New Roman"/>
          <w:sz w:val="20"/>
          <w:szCs w:val="20"/>
          <w:lang w:val="fr-FR"/>
        </w:rPr>
        <w:t xml:space="preserve">allique </w:t>
      </w:r>
      <w:r w:rsidR="00991EE4">
        <w:rPr>
          <w:rFonts w:ascii="Times New Roman" w:eastAsia="Calibri" w:hAnsi="Times New Roman" w:cs="Times New Roman"/>
          <w:sz w:val="20"/>
          <w:szCs w:val="20"/>
          <w:lang w:val="fr-FR"/>
        </w:rPr>
        <w:t xml:space="preserve">par </w:t>
      </w:r>
      <w:r w:rsidRPr="002C1C73">
        <w:rPr>
          <w:rFonts w:ascii="Times New Roman" w:eastAsia="Calibri" w:hAnsi="Times New Roman" w:cs="Times New Roman"/>
          <w:sz w:val="20"/>
          <w:szCs w:val="20"/>
          <w:lang w:val="fr-FR"/>
        </w:rPr>
        <w:t>g</w:t>
      </w:r>
      <w:r>
        <w:rPr>
          <w:rFonts w:ascii="Times New Roman" w:eastAsia="Calibri" w:hAnsi="Times New Roman" w:cs="Times New Roman"/>
          <w:sz w:val="20"/>
          <w:szCs w:val="20"/>
          <w:lang w:val="fr-FR"/>
        </w:rPr>
        <w:t>ramme</w:t>
      </w:r>
      <w:r w:rsidRPr="002C1C73">
        <w:rPr>
          <w:rFonts w:ascii="Times New Roman" w:eastAsia="Calibri" w:hAnsi="Times New Roman" w:cs="Times New Roman"/>
          <w:sz w:val="20"/>
          <w:szCs w:val="20"/>
          <w:lang w:val="fr-FR"/>
        </w:rPr>
        <w:t xml:space="preserve"> de poudre brute et 62,33 mg E</w:t>
      </w:r>
      <w:r>
        <w:rPr>
          <w:rFonts w:ascii="Times New Roman" w:eastAsia="Calibri" w:hAnsi="Times New Roman" w:cs="Times New Roman"/>
          <w:sz w:val="20"/>
          <w:szCs w:val="20"/>
          <w:lang w:val="fr-FR"/>
        </w:rPr>
        <w:t xml:space="preserve">quivalent </w:t>
      </w:r>
      <w:r w:rsidRPr="002C1C73">
        <w:rPr>
          <w:rFonts w:ascii="Times New Roman" w:eastAsia="Calibri" w:hAnsi="Times New Roman" w:cs="Times New Roman"/>
          <w:sz w:val="20"/>
          <w:szCs w:val="20"/>
          <w:lang w:val="fr-FR"/>
        </w:rPr>
        <w:t>A</w:t>
      </w:r>
      <w:r>
        <w:rPr>
          <w:rFonts w:ascii="Times New Roman" w:eastAsia="Calibri" w:hAnsi="Times New Roman" w:cs="Times New Roman"/>
          <w:sz w:val="20"/>
          <w:szCs w:val="20"/>
          <w:lang w:val="fr-FR"/>
        </w:rPr>
        <w:t xml:space="preserve">cide </w:t>
      </w:r>
      <w:r w:rsidRPr="002C1C73">
        <w:rPr>
          <w:rFonts w:ascii="Times New Roman" w:eastAsia="Calibri" w:hAnsi="Times New Roman" w:cs="Times New Roman"/>
          <w:sz w:val="20"/>
          <w:szCs w:val="20"/>
          <w:lang w:val="fr-FR"/>
        </w:rPr>
        <w:t>G</w:t>
      </w:r>
      <w:r>
        <w:rPr>
          <w:rFonts w:ascii="Times New Roman" w:eastAsia="Calibri" w:hAnsi="Times New Roman" w:cs="Times New Roman"/>
          <w:sz w:val="20"/>
          <w:szCs w:val="20"/>
          <w:lang w:val="fr-FR"/>
        </w:rPr>
        <w:t xml:space="preserve">allique </w:t>
      </w:r>
      <w:r w:rsidR="00991EE4">
        <w:rPr>
          <w:rFonts w:ascii="Times New Roman" w:eastAsia="Calibri" w:hAnsi="Times New Roman" w:cs="Times New Roman"/>
          <w:sz w:val="20"/>
          <w:szCs w:val="20"/>
          <w:lang w:val="fr-FR"/>
        </w:rPr>
        <w:t xml:space="preserve">par </w:t>
      </w:r>
      <w:r w:rsidRPr="002C1C73">
        <w:rPr>
          <w:rFonts w:ascii="Times New Roman" w:eastAsia="Calibri" w:hAnsi="Times New Roman" w:cs="Times New Roman"/>
          <w:sz w:val="20"/>
          <w:szCs w:val="20"/>
          <w:lang w:val="fr-FR"/>
        </w:rPr>
        <w:t>g</w:t>
      </w:r>
      <w:r w:rsidR="00991EE4">
        <w:rPr>
          <w:rFonts w:ascii="Times New Roman" w:eastAsia="Calibri" w:hAnsi="Times New Roman" w:cs="Times New Roman"/>
          <w:sz w:val="20"/>
          <w:szCs w:val="20"/>
          <w:lang w:val="fr-FR"/>
        </w:rPr>
        <w:t>ramme</w:t>
      </w:r>
      <w:r w:rsidRPr="002C1C73">
        <w:rPr>
          <w:rFonts w:ascii="Times New Roman" w:eastAsia="Calibri" w:hAnsi="Times New Roman" w:cs="Times New Roman"/>
          <w:sz w:val="20"/>
          <w:szCs w:val="20"/>
          <w:lang w:val="fr-FR"/>
        </w:rPr>
        <w:t xml:space="preserve"> d’extrait). Les propriétés rhéologiques des mélanges associant la poudre brute, la silice colloïdale anhydre (</w:t>
      </w:r>
      <w:proofErr w:type="spellStart"/>
      <w:r w:rsidRPr="002C1C73">
        <w:rPr>
          <w:rFonts w:ascii="Times New Roman" w:eastAsia="Calibri" w:hAnsi="Times New Roman" w:cs="Times New Roman"/>
          <w:sz w:val="20"/>
          <w:szCs w:val="20"/>
          <w:lang w:val="fr-FR"/>
        </w:rPr>
        <w:t>Aérosil</w:t>
      </w:r>
      <w:proofErr w:type="spellEnd"/>
      <w:r w:rsidRPr="002C1C73">
        <w:rPr>
          <w:rFonts w:ascii="Times New Roman" w:eastAsia="Calibri" w:hAnsi="Times New Roman" w:cs="Times New Roman"/>
          <w:sz w:val="20"/>
          <w:szCs w:val="20"/>
          <w:lang w:val="fr-FR"/>
        </w:rPr>
        <w:t xml:space="preserve"> 300) et la cellulose microcristalline (</w:t>
      </w:r>
      <w:proofErr w:type="spellStart"/>
      <w:r w:rsidRPr="002C1C73">
        <w:rPr>
          <w:rFonts w:ascii="Times New Roman" w:eastAsia="Calibri" w:hAnsi="Times New Roman" w:cs="Times New Roman"/>
          <w:sz w:val="20"/>
          <w:szCs w:val="20"/>
          <w:lang w:val="fr-FR"/>
        </w:rPr>
        <w:t>Avicel</w:t>
      </w:r>
      <w:proofErr w:type="spellEnd"/>
      <w:r w:rsidRPr="002C1C73">
        <w:rPr>
          <w:rFonts w:ascii="Times New Roman" w:eastAsia="Calibri" w:hAnsi="Times New Roman" w:cs="Times New Roman"/>
          <w:sz w:val="20"/>
          <w:szCs w:val="20"/>
          <w:lang w:val="fr-FR"/>
        </w:rPr>
        <w:t xml:space="preserve"> PH 101) ont permis de sélectionner une formule titrant 451,8 mg de poudre brute (33,64 mg EAG de polyphénols totaux) dans les gélules n°00 administrables chez l’adulte à la dose de 3 unités 3 fois par jour. Ces gélules ont répondu favorablement aux contrôles </w:t>
      </w:r>
      <w:proofErr w:type="spellStart"/>
      <w:r w:rsidRPr="002C1C73">
        <w:rPr>
          <w:rFonts w:ascii="Times New Roman" w:eastAsia="Calibri" w:hAnsi="Times New Roman" w:cs="Times New Roman"/>
          <w:sz w:val="20"/>
          <w:szCs w:val="20"/>
          <w:lang w:val="fr-FR"/>
        </w:rPr>
        <w:t>pharmacotechniques</w:t>
      </w:r>
      <w:proofErr w:type="spellEnd"/>
      <w:r w:rsidRPr="002C1C73">
        <w:rPr>
          <w:rFonts w:ascii="Times New Roman" w:eastAsia="Calibri" w:hAnsi="Times New Roman" w:cs="Times New Roman"/>
          <w:sz w:val="20"/>
          <w:szCs w:val="20"/>
          <w:lang w:val="fr-FR"/>
        </w:rPr>
        <w:t xml:space="preserve"> et microbiologiques de la Pharmacopée européenne 9</w:t>
      </w:r>
      <w:r w:rsidRPr="002C1C73">
        <w:rPr>
          <w:rFonts w:ascii="Times New Roman" w:eastAsia="Calibri" w:hAnsi="Times New Roman" w:cs="Times New Roman"/>
          <w:sz w:val="20"/>
          <w:szCs w:val="20"/>
          <w:vertAlign w:val="superscript"/>
          <w:lang w:val="fr-FR"/>
        </w:rPr>
        <w:t>e</w:t>
      </w:r>
      <w:r w:rsidRPr="002C1C73">
        <w:rPr>
          <w:rFonts w:ascii="Times New Roman" w:eastAsia="Calibri" w:hAnsi="Times New Roman" w:cs="Times New Roman"/>
          <w:sz w:val="20"/>
          <w:szCs w:val="20"/>
          <w:lang w:val="fr-FR"/>
        </w:rPr>
        <w:t xml:space="preserve"> édition et se présentent comme un bon candidat aux essais préliminaires d’un Médicament Traditionnel Amélioré (MTA).</w:t>
      </w:r>
    </w:p>
    <w:p w:rsidR="002C1C73" w:rsidRPr="00D87D7B" w:rsidRDefault="002C1C73" w:rsidP="002C1C73">
      <w:pPr>
        <w:spacing w:line="360" w:lineRule="auto"/>
        <w:jc w:val="both"/>
        <w:rPr>
          <w:rFonts w:ascii="Times New Roman" w:eastAsia="Calibri" w:hAnsi="Times New Roman" w:cs="Times New Roman"/>
          <w:sz w:val="24"/>
          <w:szCs w:val="24"/>
          <w:lang w:val="fr-FR"/>
        </w:rPr>
      </w:pPr>
      <w:r w:rsidRPr="002C1C73">
        <w:rPr>
          <w:rFonts w:ascii="Times New Roman" w:eastAsia="Calibri" w:hAnsi="Times New Roman" w:cs="Times New Roman"/>
          <w:b/>
          <w:i/>
          <w:lang w:val="fr-FR"/>
        </w:rPr>
        <w:t>Mots clés </w:t>
      </w:r>
      <w:r w:rsidRPr="00D87D7B">
        <w:rPr>
          <w:rFonts w:ascii="Times New Roman" w:eastAsia="Calibri" w:hAnsi="Times New Roman" w:cs="Times New Roman"/>
          <w:sz w:val="24"/>
          <w:szCs w:val="24"/>
          <w:lang w:val="fr-FR"/>
        </w:rPr>
        <w:t xml:space="preserve">: </w:t>
      </w:r>
      <w:proofErr w:type="spellStart"/>
      <w:r w:rsidRPr="002C1C73">
        <w:rPr>
          <w:rFonts w:ascii="Times New Roman" w:eastAsia="Calibri" w:hAnsi="Times New Roman" w:cs="Times New Roman"/>
          <w:i/>
          <w:iCs/>
          <w:sz w:val="20"/>
          <w:szCs w:val="20"/>
          <w:lang w:val="fr-FR"/>
        </w:rPr>
        <w:t>Zingiber</w:t>
      </w:r>
      <w:proofErr w:type="spellEnd"/>
      <w:r w:rsidRPr="002C1C73">
        <w:rPr>
          <w:rFonts w:ascii="Times New Roman" w:eastAsia="Calibri" w:hAnsi="Times New Roman" w:cs="Times New Roman"/>
          <w:i/>
          <w:iCs/>
          <w:sz w:val="20"/>
          <w:szCs w:val="20"/>
          <w:lang w:val="fr-FR"/>
        </w:rPr>
        <w:t xml:space="preserve"> officinale</w:t>
      </w:r>
      <w:r w:rsidRPr="002C1C73">
        <w:rPr>
          <w:rFonts w:ascii="Times New Roman" w:eastAsia="Calibri" w:hAnsi="Times New Roman" w:cs="Times New Roman"/>
          <w:sz w:val="20"/>
          <w:szCs w:val="20"/>
          <w:lang w:val="fr-FR"/>
        </w:rPr>
        <w:t>, antidiabétique, formulation, gélules</w:t>
      </w:r>
      <w:r w:rsidRPr="00D87D7B">
        <w:rPr>
          <w:rFonts w:ascii="Times New Roman" w:eastAsia="Calibri" w:hAnsi="Times New Roman" w:cs="Times New Roman"/>
          <w:sz w:val="24"/>
          <w:szCs w:val="24"/>
          <w:lang w:val="fr-FR"/>
        </w:rPr>
        <w:t>.</w:t>
      </w:r>
    </w:p>
    <w:p w:rsidR="002C1C73" w:rsidRPr="002C1C73" w:rsidRDefault="002C1C73" w:rsidP="002C1C73">
      <w:pPr>
        <w:rPr>
          <w:rFonts w:ascii="Times New Roman" w:eastAsia="Calibri" w:hAnsi="Times New Roman" w:cs="Times New Roman"/>
          <w:b/>
          <w:color w:val="2E74B5" w:themeColor="accent1" w:themeShade="BF"/>
          <w:sz w:val="28"/>
          <w:lang w:val="fr-CM"/>
        </w:rPr>
      </w:pPr>
      <w:bookmarkStart w:id="2" w:name="_Toc168503742"/>
      <w:bookmarkStart w:id="3" w:name="_Toc169354883"/>
      <w:r w:rsidRPr="002C1C73">
        <w:rPr>
          <w:rFonts w:ascii="Times New Roman" w:eastAsia="Calibri" w:hAnsi="Times New Roman" w:cs="Times New Roman"/>
          <w:b/>
          <w:color w:val="2E74B5" w:themeColor="accent1" w:themeShade="BF"/>
          <w:sz w:val="28"/>
          <w:lang w:val="fr-CM"/>
        </w:rPr>
        <w:br w:type="page"/>
      </w:r>
    </w:p>
    <w:p w:rsidR="002C1C73" w:rsidRPr="002C1C73" w:rsidRDefault="002C1C73" w:rsidP="002C1C73">
      <w:pPr>
        <w:spacing w:line="360" w:lineRule="auto"/>
        <w:rPr>
          <w:rFonts w:ascii="Times New Roman" w:eastAsia="Calibri" w:hAnsi="Times New Roman" w:cs="Times New Roman"/>
          <w:b/>
          <w:color w:val="2E74B5" w:themeColor="accent1" w:themeShade="BF"/>
        </w:rPr>
      </w:pPr>
      <w:proofErr w:type="gramStart"/>
      <w:r w:rsidRPr="002C1C73">
        <w:rPr>
          <w:rFonts w:ascii="Times New Roman" w:eastAsia="Calibri" w:hAnsi="Times New Roman" w:cs="Times New Roman"/>
          <w:b/>
          <w:color w:val="2E74B5" w:themeColor="accent1" w:themeShade="BF"/>
        </w:rPr>
        <w:lastRenderedPageBreak/>
        <w:t>Abstract</w:t>
      </w:r>
      <w:bookmarkEnd w:id="2"/>
      <w:bookmarkEnd w:id="3"/>
      <w:r w:rsidRPr="002C1C73">
        <w:rPr>
          <w:rFonts w:ascii="Times New Roman" w:eastAsia="Calibri" w:hAnsi="Times New Roman" w:cs="Times New Roman"/>
          <w:b/>
          <w:color w:val="2E74B5" w:themeColor="accent1" w:themeShade="BF"/>
        </w:rPr>
        <w:t xml:space="preserve"> :</w:t>
      </w:r>
      <w:proofErr w:type="gramEnd"/>
    </w:p>
    <w:p w:rsidR="002C1C73" w:rsidRPr="00991EE4" w:rsidRDefault="002C1C73" w:rsidP="002C1C73">
      <w:pPr>
        <w:spacing w:line="360" w:lineRule="auto"/>
        <w:ind w:firstLine="708"/>
        <w:jc w:val="both"/>
        <w:rPr>
          <w:rFonts w:ascii="Times New Roman" w:eastAsia="Calibri" w:hAnsi="Times New Roman" w:cs="Times New Roman"/>
          <w:color w:val="2E74B5" w:themeColor="accent1" w:themeShade="BF"/>
          <w:sz w:val="20"/>
          <w:szCs w:val="20"/>
        </w:rPr>
      </w:pPr>
      <w:r w:rsidRPr="00991EE4">
        <w:rPr>
          <w:rFonts w:ascii="Times New Roman" w:eastAsia="Calibri" w:hAnsi="Times New Roman" w:cs="Times New Roman"/>
          <w:color w:val="2E74B5" w:themeColor="accent1" w:themeShade="BF"/>
          <w:sz w:val="20"/>
          <w:szCs w:val="20"/>
        </w:rPr>
        <w:t xml:space="preserve">Diabetes mellitus is a metabolic disorder characterized by hyperglycemia due to a defect in insulin secretion and/or action. In Cameroon, the prevalence of diabetes </w:t>
      </w:r>
      <w:proofErr w:type="gramStart"/>
      <w:r w:rsidRPr="00991EE4">
        <w:rPr>
          <w:rFonts w:ascii="Times New Roman" w:eastAsia="Calibri" w:hAnsi="Times New Roman" w:cs="Times New Roman"/>
          <w:color w:val="2E74B5" w:themeColor="accent1" w:themeShade="BF"/>
          <w:sz w:val="20"/>
          <w:szCs w:val="20"/>
        </w:rPr>
        <w:t>is estimated</w:t>
      </w:r>
      <w:proofErr w:type="gramEnd"/>
      <w:r w:rsidRPr="00991EE4">
        <w:rPr>
          <w:rFonts w:ascii="Times New Roman" w:eastAsia="Calibri" w:hAnsi="Times New Roman" w:cs="Times New Roman"/>
          <w:color w:val="2E74B5" w:themeColor="accent1" w:themeShade="BF"/>
          <w:sz w:val="20"/>
          <w:szCs w:val="20"/>
        </w:rPr>
        <w:t xml:space="preserve"> at 6 %. Its treatment </w:t>
      </w:r>
      <w:proofErr w:type="gramStart"/>
      <w:r w:rsidRPr="00991EE4">
        <w:rPr>
          <w:rFonts w:ascii="Times New Roman" w:eastAsia="Calibri" w:hAnsi="Times New Roman" w:cs="Times New Roman"/>
          <w:color w:val="2E74B5" w:themeColor="accent1" w:themeShade="BF"/>
          <w:sz w:val="20"/>
          <w:szCs w:val="20"/>
        </w:rPr>
        <w:t>is mainly based</w:t>
      </w:r>
      <w:proofErr w:type="gramEnd"/>
      <w:r w:rsidRPr="00991EE4">
        <w:rPr>
          <w:rFonts w:ascii="Times New Roman" w:eastAsia="Calibri" w:hAnsi="Times New Roman" w:cs="Times New Roman"/>
          <w:color w:val="2E74B5" w:themeColor="accent1" w:themeShade="BF"/>
          <w:sz w:val="20"/>
          <w:szCs w:val="20"/>
        </w:rPr>
        <w:t xml:space="preserve"> on expensive drugs with many side effects. Therefore, it is important to search for new well-tolerated and inexpensive drugs for the population. The present study aimed to formulate antidiabetic capsules based on the rhizome of </w:t>
      </w:r>
      <w:proofErr w:type="spellStart"/>
      <w:r w:rsidRPr="00991EE4">
        <w:rPr>
          <w:rFonts w:ascii="Times New Roman" w:eastAsia="Calibri" w:hAnsi="Times New Roman" w:cs="Times New Roman"/>
          <w:i/>
          <w:iCs/>
          <w:color w:val="2E74B5" w:themeColor="accent1" w:themeShade="BF"/>
          <w:sz w:val="20"/>
          <w:szCs w:val="20"/>
        </w:rPr>
        <w:t>Zingiber</w:t>
      </w:r>
      <w:proofErr w:type="spellEnd"/>
      <w:r w:rsidRPr="00991EE4">
        <w:rPr>
          <w:rFonts w:ascii="Times New Roman" w:eastAsia="Calibri" w:hAnsi="Times New Roman" w:cs="Times New Roman"/>
          <w:i/>
          <w:iCs/>
          <w:color w:val="2E74B5" w:themeColor="accent1" w:themeShade="BF"/>
          <w:sz w:val="20"/>
          <w:szCs w:val="20"/>
        </w:rPr>
        <w:t xml:space="preserve"> </w:t>
      </w:r>
      <w:proofErr w:type="spellStart"/>
      <w:r w:rsidRPr="00991EE4">
        <w:rPr>
          <w:rFonts w:ascii="Times New Roman" w:eastAsia="Calibri" w:hAnsi="Times New Roman" w:cs="Times New Roman"/>
          <w:i/>
          <w:iCs/>
          <w:color w:val="2E74B5" w:themeColor="accent1" w:themeShade="BF"/>
          <w:sz w:val="20"/>
          <w:szCs w:val="20"/>
        </w:rPr>
        <w:t>officinale</w:t>
      </w:r>
      <w:proofErr w:type="spellEnd"/>
      <w:r w:rsidRPr="00991EE4">
        <w:rPr>
          <w:rFonts w:ascii="Times New Roman" w:eastAsia="Calibri" w:hAnsi="Times New Roman" w:cs="Times New Roman"/>
          <w:color w:val="2E74B5" w:themeColor="accent1" w:themeShade="BF"/>
          <w:sz w:val="20"/>
          <w:szCs w:val="20"/>
        </w:rPr>
        <w:t xml:space="preserve">. The rhizomes </w:t>
      </w:r>
      <w:proofErr w:type="gramStart"/>
      <w:r w:rsidRPr="00991EE4">
        <w:rPr>
          <w:rFonts w:ascii="Times New Roman" w:eastAsia="Calibri" w:hAnsi="Times New Roman" w:cs="Times New Roman"/>
          <w:color w:val="2E74B5" w:themeColor="accent1" w:themeShade="BF"/>
          <w:sz w:val="20"/>
          <w:szCs w:val="20"/>
        </w:rPr>
        <w:t>were cleaned, cut, and dried in an oven at 50°C, then finely crushed to obtain a crude powder</w:t>
      </w:r>
      <w:proofErr w:type="gramEnd"/>
      <w:r w:rsidRPr="00991EE4">
        <w:rPr>
          <w:rFonts w:ascii="Times New Roman" w:eastAsia="Calibri" w:hAnsi="Times New Roman" w:cs="Times New Roman"/>
          <w:color w:val="2E74B5" w:themeColor="accent1" w:themeShade="BF"/>
          <w:sz w:val="20"/>
          <w:szCs w:val="20"/>
        </w:rPr>
        <w:t xml:space="preserve">. A part of this powder </w:t>
      </w:r>
      <w:proofErr w:type="gramStart"/>
      <w:r w:rsidRPr="00991EE4">
        <w:rPr>
          <w:rFonts w:ascii="Times New Roman" w:eastAsia="Calibri" w:hAnsi="Times New Roman" w:cs="Times New Roman"/>
          <w:color w:val="2E74B5" w:themeColor="accent1" w:themeShade="BF"/>
          <w:sz w:val="20"/>
          <w:szCs w:val="20"/>
        </w:rPr>
        <w:t>was subjected</w:t>
      </w:r>
      <w:proofErr w:type="gramEnd"/>
      <w:r w:rsidRPr="00991EE4">
        <w:rPr>
          <w:rFonts w:ascii="Times New Roman" w:eastAsia="Calibri" w:hAnsi="Times New Roman" w:cs="Times New Roman"/>
          <w:color w:val="2E74B5" w:themeColor="accent1" w:themeShade="BF"/>
          <w:sz w:val="20"/>
          <w:szCs w:val="20"/>
        </w:rPr>
        <w:t xml:space="preserve"> to maceration in water in order to prepare an aqueous powder extract.  Another part </w:t>
      </w:r>
      <w:proofErr w:type="gramStart"/>
      <w:r w:rsidRPr="00991EE4">
        <w:rPr>
          <w:rFonts w:ascii="Times New Roman" w:eastAsia="Calibri" w:hAnsi="Times New Roman" w:cs="Times New Roman"/>
          <w:color w:val="2E74B5" w:themeColor="accent1" w:themeShade="BF"/>
          <w:sz w:val="20"/>
          <w:szCs w:val="20"/>
        </w:rPr>
        <w:t>was used</w:t>
      </w:r>
      <w:proofErr w:type="gramEnd"/>
      <w:r w:rsidRPr="00991EE4">
        <w:rPr>
          <w:rFonts w:ascii="Times New Roman" w:eastAsia="Calibri" w:hAnsi="Times New Roman" w:cs="Times New Roman"/>
          <w:color w:val="2E74B5" w:themeColor="accent1" w:themeShade="BF"/>
          <w:sz w:val="20"/>
          <w:szCs w:val="20"/>
        </w:rPr>
        <w:t xml:space="preserve"> as is for encapsulation. Comparison of the phytochemical composition and rheological behavior made it possible to select the one to use for the capsules. Several formulas were tested, and capsules were prepared and checked for </w:t>
      </w:r>
      <w:proofErr w:type="spellStart"/>
      <w:r w:rsidRPr="00991EE4">
        <w:rPr>
          <w:rFonts w:ascii="Times New Roman" w:eastAsia="Calibri" w:hAnsi="Times New Roman" w:cs="Times New Roman"/>
          <w:color w:val="2E74B5" w:themeColor="accent1" w:themeShade="BF"/>
          <w:sz w:val="20"/>
          <w:szCs w:val="20"/>
        </w:rPr>
        <w:t>pharmacotechnical</w:t>
      </w:r>
      <w:proofErr w:type="spellEnd"/>
      <w:r w:rsidRPr="00991EE4">
        <w:rPr>
          <w:rFonts w:ascii="Times New Roman" w:eastAsia="Calibri" w:hAnsi="Times New Roman" w:cs="Times New Roman"/>
          <w:color w:val="2E74B5" w:themeColor="accent1" w:themeShade="BF"/>
          <w:sz w:val="20"/>
          <w:szCs w:val="20"/>
        </w:rPr>
        <w:t xml:space="preserve"> and microbiological compliance. The powdery aqueous extract </w:t>
      </w:r>
      <w:proofErr w:type="gramStart"/>
      <w:r w:rsidRPr="00991EE4">
        <w:rPr>
          <w:rFonts w:ascii="Times New Roman" w:eastAsia="Calibri" w:hAnsi="Times New Roman" w:cs="Times New Roman"/>
          <w:color w:val="2E74B5" w:themeColor="accent1" w:themeShade="BF"/>
          <w:sz w:val="20"/>
          <w:szCs w:val="20"/>
        </w:rPr>
        <w:t>was obtained</w:t>
      </w:r>
      <w:proofErr w:type="gramEnd"/>
      <w:r w:rsidRPr="00991EE4">
        <w:rPr>
          <w:rFonts w:ascii="Times New Roman" w:eastAsia="Calibri" w:hAnsi="Times New Roman" w:cs="Times New Roman"/>
          <w:color w:val="2E74B5" w:themeColor="accent1" w:themeShade="BF"/>
          <w:sz w:val="20"/>
          <w:szCs w:val="20"/>
        </w:rPr>
        <w:t xml:space="preserve"> with a yield of 12%. Unlike the </w:t>
      </w:r>
      <w:proofErr w:type="spellStart"/>
      <w:r w:rsidRPr="00991EE4">
        <w:rPr>
          <w:rFonts w:ascii="Times New Roman" w:eastAsia="Calibri" w:hAnsi="Times New Roman" w:cs="Times New Roman"/>
          <w:color w:val="2E74B5" w:themeColor="accent1" w:themeShade="BF"/>
          <w:sz w:val="20"/>
          <w:szCs w:val="20"/>
        </w:rPr>
        <w:t>rawpowder</w:t>
      </w:r>
      <w:proofErr w:type="spellEnd"/>
      <w:r w:rsidRPr="00991EE4">
        <w:rPr>
          <w:rFonts w:ascii="Times New Roman" w:eastAsia="Calibri" w:hAnsi="Times New Roman" w:cs="Times New Roman"/>
          <w:color w:val="2E74B5" w:themeColor="accent1" w:themeShade="BF"/>
          <w:sz w:val="20"/>
          <w:szCs w:val="20"/>
        </w:rPr>
        <w:t xml:space="preserve">, this extract did not contain </w:t>
      </w:r>
      <w:proofErr w:type="spellStart"/>
      <w:r w:rsidRPr="00991EE4">
        <w:rPr>
          <w:rFonts w:ascii="Times New Roman" w:eastAsia="Calibri" w:hAnsi="Times New Roman" w:cs="Times New Roman"/>
          <w:color w:val="2E74B5" w:themeColor="accent1" w:themeShade="BF"/>
          <w:sz w:val="20"/>
          <w:szCs w:val="20"/>
        </w:rPr>
        <w:t>saponins</w:t>
      </w:r>
      <w:proofErr w:type="spellEnd"/>
      <w:r w:rsidRPr="00991EE4">
        <w:rPr>
          <w:rFonts w:ascii="Times New Roman" w:eastAsia="Calibri" w:hAnsi="Times New Roman" w:cs="Times New Roman"/>
          <w:color w:val="2E74B5" w:themeColor="accent1" w:themeShade="BF"/>
          <w:sz w:val="20"/>
          <w:szCs w:val="20"/>
        </w:rPr>
        <w:t>. Both powders contained flavonoids, alkaloids, and especially polyphenols: 74.47 mg of</w:t>
      </w:r>
      <w:r w:rsidR="00991EE4" w:rsidRPr="00991EE4">
        <w:rPr>
          <w:rFonts w:ascii="Times New Roman" w:eastAsia="Calibri" w:hAnsi="Times New Roman" w:cs="Times New Roman"/>
          <w:color w:val="2E74B5" w:themeColor="accent1" w:themeShade="BF"/>
          <w:sz w:val="20"/>
          <w:szCs w:val="20"/>
        </w:rPr>
        <w:t xml:space="preserve"> </w:t>
      </w:r>
      <w:r w:rsidR="00991EE4" w:rsidRPr="00991EE4">
        <w:rPr>
          <w:rFonts w:ascii="Times New Roman" w:eastAsia="Calibri" w:hAnsi="Times New Roman" w:cs="Times New Roman"/>
          <w:color w:val="2E74B5" w:themeColor="accent1" w:themeShade="BF"/>
          <w:sz w:val="20"/>
          <w:szCs w:val="20"/>
        </w:rPr>
        <w:t>G</w:t>
      </w:r>
      <w:r w:rsidR="00991EE4">
        <w:rPr>
          <w:rFonts w:ascii="Times New Roman" w:eastAsia="Calibri" w:hAnsi="Times New Roman" w:cs="Times New Roman"/>
          <w:color w:val="2E74B5" w:themeColor="accent1" w:themeShade="BF"/>
          <w:sz w:val="20"/>
          <w:szCs w:val="20"/>
        </w:rPr>
        <w:t xml:space="preserve">allic Acid </w:t>
      </w:r>
      <w:proofErr w:type="spellStart"/>
      <w:r w:rsidR="00991EE4" w:rsidRPr="00991EE4">
        <w:rPr>
          <w:rFonts w:ascii="Times New Roman" w:eastAsia="Calibri" w:hAnsi="Times New Roman" w:cs="Times New Roman"/>
          <w:color w:val="2E74B5" w:themeColor="accent1" w:themeShade="BF"/>
          <w:sz w:val="20"/>
          <w:szCs w:val="20"/>
        </w:rPr>
        <w:t>E</w:t>
      </w:r>
      <w:r w:rsidR="00991EE4">
        <w:rPr>
          <w:rFonts w:ascii="Times New Roman" w:eastAsia="Calibri" w:hAnsi="Times New Roman" w:cs="Times New Roman"/>
          <w:color w:val="2E74B5" w:themeColor="accent1" w:themeShade="BF"/>
          <w:sz w:val="20"/>
          <w:szCs w:val="20"/>
        </w:rPr>
        <w:t>uivalent</w:t>
      </w:r>
      <w:proofErr w:type="spellEnd"/>
      <w:r w:rsidR="00991EE4">
        <w:rPr>
          <w:rFonts w:ascii="Times New Roman" w:eastAsia="Calibri" w:hAnsi="Times New Roman" w:cs="Times New Roman"/>
          <w:color w:val="2E74B5" w:themeColor="accent1" w:themeShade="BF"/>
          <w:sz w:val="20"/>
          <w:szCs w:val="20"/>
        </w:rPr>
        <w:t xml:space="preserve"> per </w:t>
      </w:r>
      <w:proofErr w:type="spellStart"/>
      <w:r w:rsidR="00991EE4" w:rsidRPr="00991EE4">
        <w:rPr>
          <w:rFonts w:ascii="Times New Roman" w:eastAsia="Calibri" w:hAnsi="Times New Roman" w:cs="Times New Roman"/>
          <w:color w:val="2E74B5" w:themeColor="accent1" w:themeShade="BF"/>
          <w:sz w:val="20"/>
          <w:szCs w:val="20"/>
        </w:rPr>
        <w:t>g</w:t>
      </w:r>
      <w:r w:rsidR="00991EE4">
        <w:rPr>
          <w:rFonts w:ascii="Times New Roman" w:eastAsia="Calibri" w:hAnsi="Times New Roman" w:cs="Times New Roman"/>
          <w:color w:val="2E74B5" w:themeColor="accent1" w:themeShade="BF"/>
          <w:sz w:val="20"/>
          <w:szCs w:val="20"/>
        </w:rPr>
        <w:t>ramm</w:t>
      </w:r>
      <w:proofErr w:type="spellEnd"/>
      <w:r w:rsidRPr="00991EE4">
        <w:rPr>
          <w:rFonts w:ascii="Times New Roman" w:eastAsia="Calibri" w:hAnsi="Times New Roman" w:cs="Times New Roman"/>
          <w:color w:val="2E74B5" w:themeColor="accent1" w:themeShade="BF"/>
          <w:sz w:val="20"/>
          <w:szCs w:val="20"/>
        </w:rPr>
        <w:t xml:space="preserve"> </w:t>
      </w:r>
      <w:r w:rsidR="00991EE4">
        <w:rPr>
          <w:rFonts w:ascii="Times New Roman" w:eastAsia="Calibri" w:hAnsi="Times New Roman" w:cs="Times New Roman"/>
          <w:color w:val="2E74B5" w:themeColor="accent1" w:themeShade="BF"/>
          <w:sz w:val="20"/>
          <w:szCs w:val="20"/>
        </w:rPr>
        <w:t xml:space="preserve">of </w:t>
      </w:r>
      <w:r w:rsidRPr="00991EE4">
        <w:rPr>
          <w:rFonts w:ascii="Times New Roman" w:eastAsia="Calibri" w:hAnsi="Times New Roman" w:cs="Times New Roman"/>
          <w:color w:val="2E74B5" w:themeColor="accent1" w:themeShade="BF"/>
          <w:sz w:val="20"/>
          <w:szCs w:val="20"/>
        </w:rPr>
        <w:t>crude powder and 62.33 mg G</w:t>
      </w:r>
      <w:r w:rsidR="00991EE4">
        <w:rPr>
          <w:rFonts w:ascii="Times New Roman" w:eastAsia="Calibri" w:hAnsi="Times New Roman" w:cs="Times New Roman"/>
          <w:color w:val="2E74B5" w:themeColor="accent1" w:themeShade="BF"/>
          <w:sz w:val="20"/>
          <w:szCs w:val="20"/>
        </w:rPr>
        <w:t xml:space="preserve">allic Acid </w:t>
      </w:r>
      <w:proofErr w:type="spellStart"/>
      <w:r w:rsidRPr="00991EE4">
        <w:rPr>
          <w:rFonts w:ascii="Times New Roman" w:eastAsia="Calibri" w:hAnsi="Times New Roman" w:cs="Times New Roman"/>
          <w:color w:val="2E74B5" w:themeColor="accent1" w:themeShade="BF"/>
          <w:sz w:val="20"/>
          <w:szCs w:val="20"/>
        </w:rPr>
        <w:t>E</w:t>
      </w:r>
      <w:r w:rsidR="00991EE4">
        <w:rPr>
          <w:rFonts w:ascii="Times New Roman" w:eastAsia="Calibri" w:hAnsi="Times New Roman" w:cs="Times New Roman"/>
          <w:color w:val="2E74B5" w:themeColor="accent1" w:themeShade="BF"/>
          <w:sz w:val="20"/>
          <w:szCs w:val="20"/>
        </w:rPr>
        <w:t>uivalent</w:t>
      </w:r>
      <w:proofErr w:type="spellEnd"/>
      <w:r w:rsidR="00991EE4">
        <w:rPr>
          <w:rFonts w:ascii="Times New Roman" w:eastAsia="Calibri" w:hAnsi="Times New Roman" w:cs="Times New Roman"/>
          <w:color w:val="2E74B5" w:themeColor="accent1" w:themeShade="BF"/>
          <w:sz w:val="20"/>
          <w:szCs w:val="20"/>
        </w:rPr>
        <w:t xml:space="preserve"> per </w:t>
      </w:r>
      <w:proofErr w:type="spellStart"/>
      <w:r w:rsidRPr="00991EE4">
        <w:rPr>
          <w:rFonts w:ascii="Times New Roman" w:eastAsia="Calibri" w:hAnsi="Times New Roman" w:cs="Times New Roman"/>
          <w:color w:val="2E74B5" w:themeColor="accent1" w:themeShade="BF"/>
          <w:sz w:val="20"/>
          <w:szCs w:val="20"/>
        </w:rPr>
        <w:t>g</w:t>
      </w:r>
      <w:r w:rsidR="00991EE4">
        <w:rPr>
          <w:rFonts w:ascii="Times New Roman" w:eastAsia="Calibri" w:hAnsi="Times New Roman" w:cs="Times New Roman"/>
          <w:color w:val="2E74B5" w:themeColor="accent1" w:themeShade="BF"/>
          <w:sz w:val="20"/>
          <w:szCs w:val="20"/>
        </w:rPr>
        <w:t>ramm</w:t>
      </w:r>
      <w:proofErr w:type="spellEnd"/>
      <w:r w:rsidRPr="00991EE4">
        <w:rPr>
          <w:rFonts w:ascii="Times New Roman" w:eastAsia="Calibri" w:hAnsi="Times New Roman" w:cs="Times New Roman"/>
          <w:color w:val="2E74B5" w:themeColor="accent1" w:themeShade="BF"/>
          <w:sz w:val="20"/>
          <w:szCs w:val="20"/>
        </w:rPr>
        <w:t xml:space="preserve"> of extract. The rheological properties of mixtures containing the crude powder, anhydrous colloidal silica (</w:t>
      </w:r>
      <w:proofErr w:type="spellStart"/>
      <w:r w:rsidRPr="00991EE4">
        <w:rPr>
          <w:rFonts w:ascii="Times New Roman" w:eastAsia="Calibri" w:hAnsi="Times New Roman" w:cs="Times New Roman"/>
          <w:color w:val="2E74B5" w:themeColor="accent1" w:themeShade="BF"/>
          <w:sz w:val="20"/>
          <w:szCs w:val="20"/>
        </w:rPr>
        <w:t>Aerosil</w:t>
      </w:r>
      <w:proofErr w:type="spellEnd"/>
      <w:r w:rsidRPr="00991EE4">
        <w:rPr>
          <w:rFonts w:ascii="Times New Roman" w:eastAsia="Calibri" w:hAnsi="Times New Roman" w:cs="Times New Roman"/>
          <w:color w:val="2E74B5" w:themeColor="accent1" w:themeShade="BF"/>
          <w:sz w:val="20"/>
          <w:szCs w:val="20"/>
        </w:rPr>
        <w:t xml:space="preserve"> 300), and microcrystalline cellulose (</w:t>
      </w:r>
      <w:proofErr w:type="spellStart"/>
      <w:r w:rsidRPr="00991EE4">
        <w:rPr>
          <w:rFonts w:ascii="Times New Roman" w:eastAsia="Calibri" w:hAnsi="Times New Roman" w:cs="Times New Roman"/>
          <w:color w:val="2E74B5" w:themeColor="accent1" w:themeShade="BF"/>
          <w:sz w:val="20"/>
          <w:szCs w:val="20"/>
        </w:rPr>
        <w:t>Avicel</w:t>
      </w:r>
      <w:proofErr w:type="spellEnd"/>
      <w:r w:rsidRPr="00991EE4">
        <w:rPr>
          <w:rFonts w:ascii="Times New Roman" w:eastAsia="Calibri" w:hAnsi="Times New Roman" w:cs="Times New Roman"/>
          <w:color w:val="2E74B5" w:themeColor="accent1" w:themeShade="BF"/>
          <w:sz w:val="20"/>
          <w:szCs w:val="20"/>
        </w:rPr>
        <w:t xml:space="preserve"> PH 101) made it possible to </w:t>
      </w:r>
      <w:proofErr w:type="spellStart"/>
      <w:r w:rsidRPr="00991EE4">
        <w:rPr>
          <w:rFonts w:ascii="Times New Roman" w:eastAsia="Calibri" w:hAnsi="Times New Roman" w:cs="Times New Roman"/>
          <w:color w:val="2E74B5" w:themeColor="accent1" w:themeShade="BF"/>
          <w:sz w:val="20"/>
          <w:szCs w:val="20"/>
        </w:rPr>
        <w:t>selectled</w:t>
      </w:r>
      <w:proofErr w:type="spellEnd"/>
      <w:r w:rsidRPr="00991EE4">
        <w:rPr>
          <w:rFonts w:ascii="Times New Roman" w:eastAsia="Calibri" w:hAnsi="Times New Roman" w:cs="Times New Roman"/>
          <w:color w:val="2E74B5" w:themeColor="accent1" w:themeShade="BF"/>
          <w:sz w:val="20"/>
          <w:szCs w:val="20"/>
        </w:rPr>
        <w:t xml:space="preserve"> a formula containing 451.8 mg of raw powder (equivalent to 33.64 mg GAE of total polyphenols) in size 00 capsules suitable for adult administration at a dose of 3 units 3 times a day. </w:t>
      </w:r>
      <w:proofErr w:type="gramStart"/>
      <w:r w:rsidRPr="00991EE4">
        <w:rPr>
          <w:rFonts w:ascii="Times New Roman" w:eastAsia="Calibri" w:hAnsi="Times New Roman" w:cs="Times New Roman"/>
          <w:color w:val="2E74B5" w:themeColor="accent1" w:themeShade="BF"/>
          <w:sz w:val="20"/>
          <w:szCs w:val="20"/>
        </w:rPr>
        <w:t xml:space="preserve">These capsules responded favorably to the </w:t>
      </w:r>
      <w:proofErr w:type="spellStart"/>
      <w:r w:rsidRPr="00991EE4">
        <w:rPr>
          <w:rFonts w:ascii="Times New Roman" w:eastAsia="Calibri" w:hAnsi="Times New Roman" w:cs="Times New Roman"/>
          <w:color w:val="2E74B5" w:themeColor="accent1" w:themeShade="BF"/>
          <w:sz w:val="20"/>
          <w:szCs w:val="20"/>
        </w:rPr>
        <w:t>pharmacotechnical</w:t>
      </w:r>
      <w:proofErr w:type="spellEnd"/>
      <w:r w:rsidRPr="00991EE4">
        <w:rPr>
          <w:rFonts w:ascii="Times New Roman" w:eastAsia="Calibri" w:hAnsi="Times New Roman" w:cs="Times New Roman"/>
          <w:color w:val="2E74B5" w:themeColor="accent1" w:themeShade="BF"/>
          <w:sz w:val="20"/>
          <w:szCs w:val="20"/>
        </w:rPr>
        <w:t xml:space="preserve"> and microbiological requirements of the European Pharmacopoeia</w:t>
      </w:r>
      <w:r w:rsidR="00991EE4">
        <w:rPr>
          <w:rFonts w:ascii="Times New Roman" w:eastAsia="Calibri" w:hAnsi="Times New Roman" w:cs="Times New Roman"/>
          <w:color w:val="2E74B5" w:themeColor="accent1" w:themeShade="BF"/>
          <w:sz w:val="20"/>
          <w:szCs w:val="20"/>
        </w:rPr>
        <w:t xml:space="preserve"> IX</w:t>
      </w:r>
      <w:r w:rsidRPr="00991EE4">
        <w:rPr>
          <w:rFonts w:ascii="Times New Roman" w:eastAsia="Calibri" w:hAnsi="Times New Roman" w:cs="Times New Roman"/>
          <w:color w:val="2E74B5" w:themeColor="accent1" w:themeShade="BF"/>
          <w:sz w:val="20"/>
          <w:szCs w:val="20"/>
        </w:rPr>
        <w:t xml:space="preserve"> and are a good candidate for Improved Traditional Medicinal (ITM) product trials.</w:t>
      </w:r>
      <w:proofErr w:type="gramEnd"/>
    </w:p>
    <w:p w:rsidR="002C1C73" w:rsidRPr="00DD0903" w:rsidRDefault="002C1C73" w:rsidP="002C1C73">
      <w:pPr>
        <w:spacing w:line="360" w:lineRule="auto"/>
        <w:jc w:val="both"/>
        <w:rPr>
          <w:rFonts w:ascii="Times New Roman" w:eastAsia="Calibri" w:hAnsi="Times New Roman" w:cs="Times New Roman"/>
          <w:color w:val="2E74B5" w:themeColor="accent1" w:themeShade="BF"/>
          <w:sz w:val="24"/>
          <w:szCs w:val="24"/>
        </w:rPr>
      </w:pPr>
      <w:proofErr w:type="gramStart"/>
      <w:r w:rsidRPr="00991EE4">
        <w:rPr>
          <w:rFonts w:ascii="Times New Roman" w:eastAsia="Calibri" w:hAnsi="Times New Roman" w:cs="Times New Roman"/>
          <w:b/>
          <w:color w:val="2E74B5" w:themeColor="accent1" w:themeShade="BF"/>
        </w:rPr>
        <w:t>Keywords</w:t>
      </w:r>
      <w:r w:rsidRPr="00DD0903">
        <w:rPr>
          <w:rFonts w:ascii="Times New Roman" w:eastAsia="Calibri" w:hAnsi="Times New Roman" w:cs="Times New Roman"/>
          <w:color w:val="2E74B5" w:themeColor="accent1" w:themeShade="BF"/>
          <w:sz w:val="24"/>
          <w:szCs w:val="24"/>
        </w:rPr>
        <w:t xml:space="preserve"> :</w:t>
      </w:r>
      <w:proofErr w:type="gramEnd"/>
      <w:r w:rsidRPr="00DD0903">
        <w:rPr>
          <w:rFonts w:ascii="Times New Roman" w:eastAsia="Calibri" w:hAnsi="Times New Roman" w:cs="Times New Roman"/>
          <w:color w:val="2E74B5" w:themeColor="accent1" w:themeShade="BF"/>
          <w:sz w:val="24"/>
          <w:szCs w:val="24"/>
        </w:rPr>
        <w:t xml:space="preserve"> </w:t>
      </w:r>
      <w:proofErr w:type="spellStart"/>
      <w:r w:rsidRPr="00991EE4">
        <w:rPr>
          <w:rFonts w:ascii="Times New Roman" w:eastAsia="Calibri" w:hAnsi="Times New Roman" w:cs="Times New Roman"/>
          <w:i/>
          <w:iCs/>
          <w:color w:val="2E74B5" w:themeColor="accent1" w:themeShade="BF"/>
        </w:rPr>
        <w:t>Zingiber</w:t>
      </w:r>
      <w:proofErr w:type="spellEnd"/>
      <w:r w:rsidRPr="00991EE4">
        <w:rPr>
          <w:rFonts w:ascii="Times New Roman" w:eastAsia="Calibri" w:hAnsi="Times New Roman" w:cs="Times New Roman"/>
          <w:i/>
          <w:iCs/>
          <w:color w:val="2E74B5" w:themeColor="accent1" w:themeShade="BF"/>
        </w:rPr>
        <w:t xml:space="preserve"> </w:t>
      </w:r>
      <w:proofErr w:type="spellStart"/>
      <w:r w:rsidRPr="00991EE4">
        <w:rPr>
          <w:rFonts w:ascii="Times New Roman" w:eastAsia="Calibri" w:hAnsi="Times New Roman" w:cs="Times New Roman"/>
          <w:i/>
          <w:iCs/>
          <w:color w:val="2E74B5" w:themeColor="accent1" w:themeShade="BF"/>
        </w:rPr>
        <w:t>officinale</w:t>
      </w:r>
      <w:proofErr w:type="spellEnd"/>
      <w:r w:rsidRPr="00991EE4">
        <w:rPr>
          <w:rFonts w:ascii="Times New Roman" w:eastAsia="Calibri" w:hAnsi="Times New Roman" w:cs="Times New Roman"/>
          <w:color w:val="2E74B5" w:themeColor="accent1" w:themeShade="BF"/>
        </w:rPr>
        <w:t xml:space="preserve">, antidiabetic, formulation, </w:t>
      </w:r>
      <w:proofErr w:type="spellStart"/>
      <w:r w:rsidRPr="00991EE4">
        <w:rPr>
          <w:rFonts w:ascii="Times New Roman" w:eastAsia="Calibri" w:hAnsi="Times New Roman" w:cs="Times New Roman"/>
          <w:color w:val="2E74B5" w:themeColor="accent1" w:themeShade="BF"/>
        </w:rPr>
        <w:t>capsules,ITM</w:t>
      </w:r>
      <w:proofErr w:type="spellEnd"/>
      <w:r w:rsidRPr="00991EE4">
        <w:rPr>
          <w:rFonts w:ascii="Times New Roman" w:eastAsia="Calibri" w:hAnsi="Times New Roman" w:cs="Times New Roman"/>
          <w:color w:val="2E74B5" w:themeColor="accent1" w:themeShade="BF"/>
        </w:rPr>
        <w:t>.</w:t>
      </w:r>
    </w:p>
    <w:p w:rsidR="002C1C73" w:rsidRPr="009D3F64" w:rsidRDefault="002C1C73" w:rsidP="002C1C73">
      <w:pPr>
        <w:rPr>
          <w:rFonts w:ascii="Times New Roman" w:eastAsia="Calibri" w:hAnsi="Times New Roman" w:cs="Times New Roman"/>
          <w:b/>
          <w:sz w:val="28"/>
          <w:szCs w:val="24"/>
        </w:rPr>
      </w:pPr>
      <w:r w:rsidRPr="009D3F64">
        <w:rPr>
          <w:rFonts w:ascii="Times New Roman" w:eastAsia="Calibri" w:hAnsi="Times New Roman" w:cs="Times New Roman"/>
          <w:b/>
          <w:sz w:val="28"/>
          <w:szCs w:val="24"/>
        </w:rPr>
        <w:br w:type="page"/>
      </w:r>
    </w:p>
    <w:p w:rsidR="002C1C73" w:rsidRPr="00991EE4" w:rsidRDefault="002C1C73" w:rsidP="002C1C73">
      <w:pPr>
        <w:spacing w:line="360" w:lineRule="auto"/>
        <w:jc w:val="both"/>
        <w:rPr>
          <w:rFonts w:ascii="Times New Roman" w:eastAsia="Calibri" w:hAnsi="Times New Roman" w:cs="Times New Roman"/>
          <w:b/>
          <w:lang w:val="fr-FR"/>
        </w:rPr>
      </w:pPr>
      <w:r w:rsidRPr="00991EE4">
        <w:rPr>
          <w:rFonts w:ascii="Times New Roman" w:eastAsia="Calibri" w:hAnsi="Times New Roman" w:cs="Times New Roman"/>
          <w:b/>
          <w:lang w:val="fr-FR"/>
        </w:rPr>
        <w:lastRenderedPageBreak/>
        <w:t>Introduction</w:t>
      </w:r>
    </w:p>
    <w:p w:rsidR="002C1C73" w:rsidRPr="00D87D7B" w:rsidRDefault="002C1C73" w:rsidP="002C1C73">
      <w:pPr>
        <w:spacing w:line="360" w:lineRule="auto"/>
        <w:ind w:firstLine="708"/>
        <w:jc w:val="both"/>
        <w:rPr>
          <w:rFonts w:ascii="Times New Roman" w:eastAsia="Calibri" w:hAnsi="Times New Roman" w:cs="Times New Roman"/>
          <w:sz w:val="24"/>
          <w:szCs w:val="24"/>
          <w:lang w:val="fr-FR"/>
        </w:rPr>
      </w:pPr>
      <w:r w:rsidRPr="00D87D7B">
        <w:rPr>
          <w:rFonts w:ascii="Times New Roman" w:eastAsia="Calibri" w:hAnsi="Times New Roman" w:cs="Times New Roman"/>
          <w:bCs/>
          <w:sz w:val="24"/>
          <w:szCs w:val="24"/>
          <w:lang w:val="fr-FR"/>
        </w:rPr>
        <w:t>Le diabète est un important problème de santé publique</w:t>
      </w:r>
      <w:r w:rsidRPr="00D87D7B">
        <w:rPr>
          <w:rFonts w:ascii="Times New Roman" w:eastAsia="Calibri" w:hAnsi="Times New Roman" w:cs="Times New Roman"/>
          <w:bCs/>
          <w:sz w:val="24"/>
          <w:szCs w:val="24"/>
          <w:lang w:val="fr-FR"/>
        </w:rPr>
        <w:fldChar w:fldCharType="begin"/>
      </w:r>
      <w:r w:rsidRPr="00D87D7B">
        <w:rPr>
          <w:rFonts w:ascii="Times New Roman" w:eastAsia="Calibri" w:hAnsi="Times New Roman" w:cs="Times New Roman"/>
          <w:bCs/>
          <w:sz w:val="24"/>
          <w:szCs w:val="24"/>
          <w:lang w:val="fr-FR"/>
        </w:rPr>
        <w:instrText xml:space="preserve"> ADDIN ZOTERO_ITEM CSL_CITATION {"citationID":"AKbsnV6T","properties":{"formattedCitation":"[1]","plainCitation":"[1]","noteIndex":0},"citationItems":[{"id":60,"uris":["http://zotero.org/users/13638572/items/4DJ6CKAV"],"itemData":{"id":60,"type":"article-journal","note":"publisher: Organisation mondiale de la Santé","source":"Google Scholar","title":"Rapport mondial sur le diabète","URL":"https://apps.who.int/iris/bitstream/handle/10665/254648/9789242565256-fre.pdf","author":[{"family":"Santé","given":"Organisation","non-dropping-particle":"mondiale de la"}],"accessed":{"date-parts":[["2023",11,25]]},"issued":{"date-parts":[["2016"]]}}}],"schema":"https://github.com/citation-style-language/schema/raw/master/csl-citation.json"} </w:instrText>
      </w:r>
      <w:r w:rsidRPr="00D87D7B">
        <w:rPr>
          <w:rFonts w:ascii="Times New Roman" w:eastAsia="Calibri" w:hAnsi="Times New Roman" w:cs="Times New Roman"/>
          <w:bCs/>
          <w:sz w:val="24"/>
          <w:szCs w:val="24"/>
          <w:lang w:val="fr-FR"/>
        </w:rPr>
        <w:fldChar w:fldCharType="separate"/>
      </w:r>
      <w:r w:rsidRPr="00D87D7B">
        <w:rPr>
          <w:rFonts w:ascii="Times New Roman" w:eastAsia="Calibri" w:hAnsi="Times New Roman" w:cs="Times New Roman"/>
          <w:sz w:val="24"/>
          <w:szCs w:val="24"/>
          <w:lang w:val="fr-FR"/>
        </w:rPr>
        <w:t>[1]</w:t>
      </w:r>
      <w:r w:rsidRPr="00D87D7B">
        <w:rPr>
          <w:rFonts w:ascii="Times New Roman" w:eastAsia="Calibri" w:hAnsi="Times New Roman" w:cs="Times New Roman"/>
          <w:bCs/>
          <w:sz w:val="24"/>
          <w:szCs w:val="24"/>
          <w:lang w:val="fr-FR"/>
        </w:rPr>
        <w:fldChar w:fldCharType="end"/>
      </w:r>
      <w:r w:rsidRPr="00D87D7B">
        <w:rPr>
          <w:rFonts w:ascii="Times New Roman" w:eastAsia="Calibri" w:hAnsi="Times New Roman" w:cs="Times New Roman"/>
          <w:bCs/>
          <w:sz w:val="24"/>
          <w:szCs w:val="24"/>
          <w:lang w:val="fr-FR"/>
        </w:rPr>
        <w:t xml:space="preserve">. </w:t>
      </w:r>
      <w:r w:rsidRPr="00D87D7B">
        <w:rPr>
          <w:rFonts w:ascii="Times New Roman" w:eastAsia="Calibri" w:hAnsi="Times New Roman" w:cs="Times New Roman"/>
          <w:sz w:val="24"/>
          <w:szCs w:val="24"/>
          <w:lang w:val="fr-FR"/>
        </w:rPr>
        <w:t xml:space="preserve">Sa prise en charge repose principalement sur des médicaments coûteux et présentant des effets indésirables, ce qui suscite au sein des populations une forte demande pour les médicaments traditionnels à base de plantes. Par conséquent, il est important de trouver de nouveaux médicaments bien tolérés et peu coûteux pour les populations. </w:t>
      </w:r>
      <w:proofErr w:type="spellStart"/>
      <w:r w:rsidRPr="00D87D7B">
        <w:rPr>
          <w:rFonts w:ascii="Times New Roman" w:eastAsia="Calibri" w:hAnsi="Times New Roman" w:cs="Times New Roman"/>
          <w:i/>
          <w:sz w:val="24"/>
          <w:szCs w:val="24"/>
          <w:lang w:val="fr-FR"/>
        </w:rPr>
        <w:t>Zingiber</w:t>
      </w:r>
      <w:proofErr w:type="spellEnd"/>
      <w:r w:rsidRPr="00D87D7B">
        <w:rPr>
          <w:rFonts w:ascii="Times New Roman" w:eastAsia="Calibri" w:hAnsi="Times New Roman" w:cs="Times New Roman"/>
          <w:i/>
          <w:sz w:val="24"/>
          <w:szCs w:val="24"/>
          <w:lang w:val="fr-FR"/>
        </w:rPr>
        <w:t xml:space="preserve"> officinale</w:t>
      </w:r>
      <w:r w:rsidRPr="00D87D7B">
        <w:rPr>
          <w:rFonts w:ascii="Times New Roman" w:eastAsia="Calibri" w:hAnsi="Times New Roman" w:cs="Times New Roman"/>
          <w:sz w:val="24"/>
          <w:szCs w:val="24"/>
          <w:lang w:val="fr-FR"/>
        </w:rPr>
        <w:t>, d’utilisation ethnobotanique très courante, est une espèce végétale dont l’activité antidiabétique</w:t>
      </w:r>
      <w:r w:rsidRPr="00D87D7B">
        <w:rPr>
          <w:rFonts w:ascii="Times New Roman" w:eastAsia="Calibri" w:hAnsi="Times New Roman" w:cs="Times New Roman"/>
          <w:sz w:val="24"/>
          <w:szCs w:val="24"/>
          <w:lang w:val="fr-FR"/>
        </w:rPr>
        <w:fldChar w:fldCharType="begin"/>
      </w:r>
      <w:r w:rsidRPr="00D87D7B">
        <w:rPr>
          <w:rFonts w:ascii="Times New Roman" w:eastAsia="Calibri" w:hAnsi="Times New Roman" w:cs="Times New Roman"/>
          <w:sz w:val="24"/>
          <w:szCs w:val="24"/>
          <w:lang w:val="fr-FR"/>
        </w:rPr>
        <w:instrText xml:space="preserve"> ADDIN ZOTERO_ITEM CSL_CITATION {"citationID":"PLdzZkZE","properties":{"formattedCitation":"[2\\uc0\\u8211{}4]","plainCitation":"[2–4]","noteIndex":0},"citationItems":[{"id":123,"uris":["http://zotero.org/users/13638572/items/R936EA3V"],"itemData":{"id":123,"type":"webpage","title":"Anti-diabetic and hypolipidaemic properties... - Google Scholar","URL":"https://scholar.google.com/scholar?cluster=15901705546646235427&amp;hl=fr&amp;as_sdt=0,5","author":[{"family":"Al-Amin","given":"M."},{"family":"Martha","given":"Thomson"},{"family":"Khaled   K.","given":""},{"family":"Riitta","given":"Peltonen­Shalaby"},{"family":"Muslim","given":"Ali"}],"accessed":{"date-parts":[["2023",12,2]]},"issued":{"date-parts":[["2006"]]}}},{"id":53,"uris":["http://zotero.org/users/13638572/items/P9GWQMHX"],"itemData":{"id":53,"type":"article-journal","container-title":"International Journal of Food Sciences and Nutrition","DOI":"10.3109/09637486.2013.775223","ISSN":"0963-7486, 1465-3478","issue":"6","journalAbbreviation":"International Journal of Food Sciences and Nutrition","language":"en","page":"682-686","source":"DOI.org (Crossref)","title":"Effects of ginger ( &lt;i&gt;Zingiber officinale&lt;/i&gt; ) on plasma glucose level, HbA1c and insulin sensitivity in type 2 diabetic patients","volume":"64","author":[{"family":"Mahluji","given":"Sepide"},{"family":"Attari","given":"Vahide Ebrahimzade"},{"family":"Mobasseri","given":"Majid"},{"family":"Payahoo","given":"Laleh"},{"family":"Ostadrahimi","given":"Alireza"},{"family":"Golzari","given":"Samad Ej"}],"issued":{"date-parts":[["2013",9]]}}},{"id":52,"uris":["http://zotero.org/users/13638572/items/R7YQ3FXD"],"itemData":{"id":52,"type":"article-journal","abstract":"Abstract\n            \n              Background\n              : Ginger (\n              Zingiber officinale\n              ) is one of the functional foods which contains biological compounds including gingerol, shogaol, paradol and zingerone. Ginger has been proposed to have anti-cancer, anti-thrombotic, anti-inflammatory, anti-arthritic, hypolipidemic and analgesic properties. Here, we report the effect of ginger supplementation on glycemic indices in Iranian patients with type 2 diabetes.\n            \n            \n              Methods\n              : A double-blind, placebo-controlled, randomized clinical trial was conducted on 20–60 -year-old patients with type 2 diabetes who did not receive insulin. Participants in the intervention and control groups were received 3 g of powdered ginger or placebo (lactose) (in capsules) daily for 3 months. Glycemic indices, total antioxidant capacity (TAC), malondialdehyde (MDA), C-reactive protein (CRP), serum paraoxonase, dietary intake and physical activity were measured at the beginning and end of the study, and after 12 h fasting.\n            \n            \n              Results\n              : Comparison of the indices after 3 months showed that the differences between the ginger and placebo groups were statistically significant as follows: serum glucose (–19.41±18.83 vs. 1.63±4.28 mg/dL, p&lt;0.001), HbA\n              1c\n              percentage (–0.77±0.88 vs. 0.02±0.16 %, p&lt;0.001), insulin (–1.46±1.7 vs. 0.09±0.34 μIU/mL, p&lt;0.001), insulin resistance (–16.38±19.2 vs. 0.68±2.7, p&lt;0.001), high-sensitive CRP (–2.78±4.07 vs. 0.2±0.77 mg/L, p&lt;0.001), paraoxonase-1 (PON-1) (22.04±24.53 vs. 1.71±2.72 U/L, p&lt;0.006), TAC (0.78±0.71 vs. –0.04±0.29 µIU/mL, p&lt;0.01) and MDA (–0.85±1.08 vs. 0.06±0.08 µmol/L, p&lt;0.001) were significantly different.\n            \n            \n              Conclusions\n              : This report shows that the 3 months supplementation of ginger improved glycemic indices, TAC and PON-1 activity in patients with type 2 diabetes.","container-title":"Journal of Complementary and Integrative Medicine","DOI":"10.1515/jcim-2014-0021","ISSN":"2194-6329, 1553-3840","issue":"2","language":"en","page":"165-170","source":"DOI.org (Crossref)","title":"The effect of ginger ( &lt;i&gt;Zingiber officinale&lt;/i&gt; ) on glycemic markers in patients with type 2 diabetes","volume":"12","author":[{"family":"Shidfar","given":"Farzad"},{"family":"Rajab","given":"Asadollah"},{"family":"Rahideh","given":"Tayebeh"},{"family":"Khandouzi","given":"Nafiseh"},{"family":"Hosseini","given":"Sharieh"},{"family":"Shidfar","given":"Shahrzad"}],"issued":{"date-parts":[["2015",6,1]]}}}],"schema":"https://github.com/citation-style-language/schema/raw/master/csl-citation.json"} </w:instrText>
      </w:r>
      <w:r w:rsidRPr="00D87D7B">
        <w:rPr>
          <w:rFonts w:ascii="Times New Roman" w:eastAsia="Calibri" w:hAnsi="Times New Roman" w:cs="Times New Roman"/>
          <w:sz w:val="24"/>
          <w:szCs w:val="24"/>
          <w:lang w:val="fr-FR"/>
        </w:rPr>
        <w:fldChar w:fldCharType="separate"/>
      </w:r>
      <w:r w:rsidRPr="00D87D7B">
        <w:rPr>
          <w:rFonts w:ascii="Times New Roman" w:eastAsia="Calibri" w:hAnsi="Times New Roman" w:cs="Times New Roman"/>
          <w:sz w:val="24"/>
          <w:szCs w:val="24"/>
          <w:lang w:val="fr-FR"/>
        </w:rPr>
        <w:t>[2,3,4]</w:t>
      </w:r>
      <w:r w:rsidRPr="00D87D7B">
        <w:rPr>
          <w:rFonts w:ascii="Times New Roman" w:eastAsia="Calibri" w:hAnsi="Times New Roman" w:cs="Times New Roman"/>
          <w:sz w:val="24"/>
          <w:szCs w:val="24"/>
          <w:lang w:val="fr-FR"/>
        </w:rPr>
        <w:fldChar w:fldCharType="end"/>
      </w:r>
      <w:r w:rsidRPr="00D87D7B">
        <w:rPr>
          <w:rFonts w:ascii="Times New Roman" w:eastAsia="Calibri" w:hAnsi="Times New Roman" w:cs="Times New Roman"/>
          <w:sz w:val="24"/>
          <w:szCs w:val="24"/>
          <w:lang w:val="fr-FR"/>
        </w:rPr>
        <w:t xml:space="preserve"> et le profil toxicologique</w:t>
      </w:r>
      <w:r w:rsidRPr="00D87D7B">
        <w:rPr>
          <w:rFonts w:ascii="Times New Roman" w:eastAsia="Calibri" w:hAnsi="Times New Roman" w:cs="Times New Roman"/>
          <w:sz w:val="24"/>
          <w:szCs w:val="24"/>
          <w:lang w:val="fr-FR"/>
        </w:rPr>
        <w:fldChar w:fldCharType="begin"/>
      </w:r>
      <w:r w:rsidRPr="00D87D7B">
        <w:rPr>
          <w:rFonts w:ascii="Times New Roman" w:eastAsia="Calibri" w:hAnsi="Times New Roman" w:cs="Times New Roman"/>
          <w:sz w:val="24"/>
          <w:szCs w:val="24"/>
          <w:lang w:val="fr-FR"/>
        </w:rPr>
        <w:instrText xml:space="preserve"> ADDIN ZOTERO_ITEM CSL_CITATION {"citationID":"XPUQMR0h","properties":{"formattedCitation":"[5]","plainCitation":"[5]","noteIndex":0},"citationItems":[{"id":63,"uris":["http://zotero.org/users/13638572/items/WZBD6XUG"],"itemData":{"id":63,"type":"thesis","genre":"PhD Thesis","source":"Google Scholar","title":"Etude comparative de l'effet préventif du gingembre et du nadh sur un modéle de diabéte induit par la stréptozotocine chez le rat Wistar","URL":"http://dspace.univ-medea.dz/handle/123456789/8937","author":[{"family":"Bahria","given":"Karima"},{"family":"Benachour","given":"K."}],"accessed":{"date-parts":[["2023",11,25]]},"issued":{"date-parts":[["2017"]]}}}],"schema":"https://github.com/citation-style-language/schema/raw/master/csl-citation.json"} </w:instrText>
      </w:r>
      <w:r w:rsidRPr="00D87D7B">
        <w:rPr>
          <w:rFonts w:ascii="Times New Roman" w:eastAsia="Calibri" w:hAnsi="Times New Roman" w:cs="Times New Roman"/>
          <w:sz w:val="24"/>
          <w:szCs w:val="24"/>
          <w:lang w:val="fr-FR"/>
        </w:rPr>
        <w:fldChar w:fldCharType="separate"/>
      </w:r>
      <w:r w:rsidRPr="00D87D7B">
        <w:rPr>
          <w:rFonts w:ascii="Times New Roman" w:eastAsia="Calibri" w:hAnsi="Times New Roman" w:cs="Times New Roman"/>
          <w:sz w:val="24"/>
          <w:szCs w:val="24"/>
          <w:lang w:val="fr-FR"/>
        </w:rPr>
        <w:t>[5]</w:t>
      </w:r>
      <w:r w:rsidRPr="00D87D7B">
        <w:rPr>
          <w:rFonts w:ascii="Times New Roman" w:eastAsia="Calibri" w:hAnsi="Times New Roman" w:cs="Times New Roman"/>
          <w:sz w:val="24"/>
          <w:szCs w:val="24"/>
          <w:lang w:val="fr-FR"/>
        </w:rPr>
        <w:fldChar w:fldCharType="end"/>
      </w:r>
      <w:r w:rsidRPr="00D87D7B">
        <w:rPr>
          <w:rFonts w:ascii="Times New Roman" w:eastAsia="Calibri" w:hAnsi="Times New Roman" w:cs="Times New Roman"/>
          <w:sz w:val="24"/>
          <w:szCs w:val="24"/>
          <w:lang w:val="fr-FR"/>
        </w:rPr>
        <w:t xml:space="preserve"> ont scientifiquement été démontrés ; c’est pourquoi la présente étude  s’est proposée de développer une forme galénique à base du rhizome de </w:t>
      </w:r>
      <w:proofErr w:type="spellStart"/>
      <w:r w:rsidRPr="00D87D7B">
        <w:rPr>
          <w:rFonts w:ascii="Times New Roman" w:eastAsia="Calibri" w:hAnsi="Times New Roman" w:cs="Times New Roman"/>
          <w:i/>
          <w:sz w:val="24"/>
          <w:szCs w:val="24"/>
          <w:lang w:val="fr-FR"/>
        </w:rPr>
        <w:t>Zingiber</w:t>
      </w:r>
      <w:proofErr w:type="spellEnd"/>
      <w:r w:rsidRPr="00D87D7B">
        <w:rPr>
          <w:rFonts w:ascii="Times New Roman" w:eastAsia="Calibri" w:hAnsi="Times New Roman" w:cs="Times New Roman"/>
          <w:i/>
          <w:sz w:val="24"/>
          <w:szCs w:val="24"/>
          <w:lang w:val="fr-FR"/>
        </w:rPr>
        <w:t xml:space="preserve"> officinale</w:t>
      </w:r>
      <w:r w:rsidRPr="00D87D7B">
        <w:rPr>
          <w:rFonts w:ascii="Times New Roman" w:eastAsia="Calibri" w:hAnsi="Times New Roman" w:cs="Times New Roman"/>
          <w:sz w:val="24"/>
          <w:szCs w:val="24"/>
          <w:lang w:val="fr-FR"/>
        </w:rPr>
        <w:t xml:space="preserve"> afin de rationaliser l’utilisation de cette ressource locale dans la prise en charge des patients diabétiques. Les polyphénols du rhizome lui confèrent un gout piquant ; </w:t>
      </w:r>
      <w:proofErr w:type="spellStart"/>
      <w:r w:rsidRPr="00D87D7B">
        <w:rPr>
          <w:rFonts w:ascii="Times New Roman" w:eastAsia="Calibri" w:hAnsi="Times New Roman" w:cs="Times New Roman"/>
          <w:sz w:val="24"/>
          <w:szCs w:val="24"/>
          <w:lang w:val="fr-FR"/>
        </w:rPr>
        <w:t>cest</w:t>
      </w:r>
      <w:proofErr w:type="spellEnd"/>
      <w:r w:rsidRPr="00D87D7B">
        <w:rPr>
          <w:rFonts w:ascii="Times New Roman" w:eastAsia="Calibri" w:hAnsi="Times New Roman" w:cs="Times New Roman"/>
          <w:sz w:val="24"/>
          <w:szCs w:val="24"/>
          <w:lang w:val="fr-FR"/>
        </w:rPr>
        <w:t xml:space="preserve"> pourquoi la gélule était la forme galénique la plus adaptée.</w:t>
      </w:r>
    </w:p>
    <w:p w:rsidR="002C1C73" w:rsidRPr="00D87D7B" w:rsidRDefault="002C1C73" w:rsidP="002C1C73">
      <w:pPr>
        <w:jc w:val="both"/>
        <w:rPr>
          <w:rFonts w:ascii="Times New Roman" w:eastAsia="Calibri" w:hAnsi="Times New Roman" w:cs="Times New Roman"/>
          <w:sz w:val="2"/>
          <w:szCs w:val="2"/>
          <w:lang w:val="fr-FR"/>
        </w:rPr>
      </w:pPr>
    </w:p>
    <w:p w:rsidR="002C1C73" w:rsidRPr="00991EE4" w:rsidRDefault="002C1C73" w:rsidP="002C1C73">
      <w:pPr>
        <w:numPr>
          <w:ilvl w:val="0"/>
          <w:numId w:val="1"/>
        </w:numPr>
        <w:contextualSpacing/>
        <w:jc w:val="both"/>
        <w:rPr>
          <w:rFonts w:ascii="Times New Roman" w:eastAsia="Calibri" w:hAnsi="Times New Roman" w:cs="Times New Roman"/>
          <w:b/>
          <w:bCs/>
          <w:sz w:val="20"/>
          <w:szCs w:val="20"/>
          <w:lang w:val="fr-FR"/>
        </w:rPr>
      </w:pPr>
      <w:bookmarkStart w:id="4" w:name="_Hlk174908690"/>
      <w:r w:rsidRPr="00991EE4">
        <w:rPr>
          <w:rFonts w:ascii="Times New Roman" w:eastAsia="Calibri" w:hAnsi="Times New Roman" w:cs="Times New Roman"/>
          <w:b/>
          <w:bCs/>
          <w:sz w:val="20"/>
          <w:szCs w:val="20"/>
          <w:lang w:val="fr-FR"/>
        </w:rPr>
        <w:t>Matériel et méthodes</w:t>
      </w:r>
    </w:p>
    <w:bookmarkEnd w:id="4"/>
    <w:p w:rsidR="002C1C73" w:rsidRPr="00991EE4" w:rsidRDefault="00D410DA" w:rsidP="002C1C73">
      <w:pPr>
        <w:spacing w:line="360" w:lineRule="auto"/>
        <w:ind w:left="360" w:firstLine="348"/>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I-1.</w:t>
      </w:r>
      <w:r w:rsidR="002C1C73" w:rsidRPr="00991EE4">
        <w:rPr>
          <w:rFonts w:ascii="Times New Roman" w:eastAsia="Calibri" w:hAnsi="Times New Roman" w:cs="Times New Roman"/>
          <w:sz w:val="20"/>
          <w:szCs w:val="20"/>
          <w:lang w:val="fr-FR"/>
        </w:rPr>
        <w:t xml:space="preserve"> Matériel</w:t>
      </w:r>
    </w:p>
    <w:p w:rsidR="002C1C73" w:rsidRPr="00991EE4" w:rsidRDefault="002C1C73" w:rsidP="002C1C73">
      <w:pPr>
        <w:spacing w:line="360" w:lineRule="auto"/>
        <w:ind w:firstLine="360"/>
        <w:jc w:val="both"/>
        <w:rPr>
          <w:rFonts w:ascii="Times New Roman" w:eastAsia="Calibri" w:hAnsi="Times New Roman" w:cs="Times New Roman"/>
          <w:sz w:val="20"/>
          <w:szCs w:val="20"/>
          <w:lang w:val="fr-FR"/>
        </w:rPr>
      </w:pPr>
      <w:r w:rsidRPr="00991EE4">
        <w:rPr>
          <w:rFonts w:ascii="Times New Roman" w:eastAsia="Calibri" w:hAnsi="Times New Roman" w:cs="Times New Roman"/>
          <w:sz w:val="20"/>
          <w:szCs w:val="20"/>
          <w:lang w:val="fr-FR"/>
        </w:rPr>
        <w:t xml:space="preserve">Les rhizomes de </w:t>
      </w:r>
      <w:proofErr w:type="spellStart"/>
      <w:r w:rsidRPr="00991EE4">
        <w:rPr>
          <w:rFonts w:ascii="Times New Roman" w:eastAsia="Calibri" w:hAnsi="Times New Roman" w:cs="Times New Roman"/>
          <w:i/>
          <w:sz w:val="20"/>
          <w:szCs w:val="20"/>
          <w:lang w:val="fr-FR"/>
        </w:rPr>
        <w:t>Zingiber</w:t>
      </w:r>
      <w:proofErr w:type="spellEnd"/>
      <w:r w:rsidRPr="00991EE4">
        <w:rPr>
          <w:rFonts w:ascii="Times New Roman" w:eastAsia="Calibri" w:hAnsi="Times New Roman" w:cs="Times New Roman"/>
          <w:i/>
          <w:sz w:val="20"/>
          <w:szCs w:val="20"/>
          <w:lang w:val="fr-FR"/>
        </w:rPr>
        <w:t xml:space="preserve"> officinale</w:t>
      </w:r>
      <w:r w:rsidRPr="00991EE4">
        <w:rPr>
          <w:rFonts w:ascii="Times New Roman" w:eastAsia="Calibri" w:hAnsi="Times New Roman" w:cs="Times New Roman"/>
          <w:sz w:val="20"/>
          <w:szCs w:val="20"/>
          <w:lang w:val="fr-FR"/>
        </w:rPr>
        <w:t xml:space="preserve"> ont été acheté dans la ville de </w:t>
      </w:r>
      <w:proofErr w:type="spellStart"/>
      <w:r w:rsidRPr="00991EE4">
        <w:rPr>
          <w:rFonts w:ascii="Times New Roman" w:eastAsia="Calibri" w:hAnsi="Times New Roman" w:cs="Times New Roman"/>
          <w:sz w:val="20"/>
          <w:szCs w:val="20"/>
          <w:lang w:val="fr-FR"/>
        </w:rPr>
        <w:t>Kékem</w:t>
      </w:r>
      <w:proofErr w:type="spellEnd"/>
      <w:r w:rsidRPr="00991EE4">
        <w:rPr>
          <w:rFonts w:ascii="Times New Roman" w:eastAsia="Calibri" w:hAnsi="Times New Roman" w:cs="Times New Roman"/>
          <w:sz w:val="20"/>
          <w:szCs w:val="20"/>
          <w:lang w:val="fr-FR"/>
        </w:rPr>
        <w:t xml:space="preserve"> (Ouest Cameroun). Les équipements techniques utilisés comprenaient entre autres: un broyeur, une étuve, un </w:t>
      </w:r>
      <w:proofErr w:type="spellStart"/>
      <w:r w:rsidRPr="00991EE4">
        <w:rPr>
          <w:rFonts w:ascii="Times New Roman" w:eastAsia="Calibri" w:hAnsi="Times New Roman" w:cs="Times New Roman"/>
          <w:sz w:val="20"/>
          <w:szCs w:val="20"/>
          <w:lang w:val="fr-FR"/>
        </w:rPr>
        <w:t>gélulier</w:t>
      </w:r>
      <w:proofErr w:type="spellEnd"/>
      <w:r w:rsidRPr="00991EE4">
        <w:rPr>
          <w:rFonts w:ascii="Times New Roman" w:eastAsia="Calibri" w:hAnsi="Times New Roman" w:cs="Times New Roman"/>
          <w:sz w:val="20"/>
          <w:szCs w:val="20"/>
          <w:lang w:val="fr-FR"/>
        </w:rPr>
        <w:t xml:space="preserve"> semi-automatique, une balance de précision et un autoclave. L'étude a nécessité l'utilisation de nombreux réactifs et milieux de culture.</w:t>
      </w:r>
    </w:p>
    <w:p w:rsidR="002C1C73" w:rsidRPr="00D410DA" w:rsidRDefault="008C0735" w:rsidP="002C1C73">
      <w:pPr>
        <w:ind w:firstLine="360"/>
        <w:jc w:val="both"/>
        <w:rPr>
          <w:rFonts w:ascii="Times New Roman" w:eastAsia="Calibri" w:hAnsi="Times New Roman" w:cs="Times New Roman"/>
          <w:sz w:val="20"/>
          <w:szCs w:val="20"/>
          <w:lang w:val="fr-FR"/>
        </w:rPr>
      </w:pPr>
      <w:r w:rsidRPr="008C0735">
        <w:rPr>
          <w:rFonts w:ascii="Times New Roman" w:eastAsia="Calibri" w:hAnsi="Times New Roman" w:cs="Times New Roman"/>
          <w:b/>
          <w:sz w:val="20"/>
          <w:szCs w:val="20"/>
          <w:lang w:val="fr-FR"/>
        </w:rPr>
        <w:t xml:space="preserve">    </w:t>
      </w:r>
      <w:r w:rsidRPr="00D410DA">
        <w:rPr>
          <w:rFonts w:ascii="Times New Roman" w:eastAsia="Calibri" w:hAnsi="Times New Roman" w:cs="Times New Roman"/>
          <w:sz w:val="20"/>
          <w:szCs w:val="20"/>
          <w:lang w:val="fr-FR"/>
        </w:rPr>
        <w:t xml:space="preserve">  I-2.</w:t>
      </w:r>
      <w:r w:rsidR="002C1C73" w:rsidRPr="00D410DA">
        <w:rPr>
          <w:rFonts w:ascii="Times New Roman" w:eastAsia="Calibri" w:hAnsi="Times New Roman" w:cs="Times New Roman"/>
          <w:sz w:val="20"/>
          <w:szCs w:val="20"/>
          <w:lang w:val="fr-FR"/>
        </w:rPr>
        <w:t xml:space="preserve"> Méthodes</w:t>
      </w:r>
      <w:bookmarkStart w:id="5" w:name="_GoBack"/>
      <w:bookmarkEnd w:id="5"/>
    </w:p>
    <w:p w:rsidR="002C1C73" w:rsidRPr="00991EE4" w:rsidRDefault="008C0735" w:rsidP="002C1C73">
      <w:pPr>
        <w:spacing w:line="360" w:lineRule="auto"/>
        <w:ind w:left="708" w:firstLine="708"/>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I-2-1.</w:t>
      </w:r>
      <w:r w:rsidR="002C1C73" w:rsidRPr="00991EE4">
        <w:rPr>
          <w:rFonts w:ascii="Times New Roman" w:eastAsia="Calibri" w:hAnsi="Times New Roman" w:cs="Times New Roman"/>
          <w:sz w:val="20"/>
          <w:szCs w:val="20"/>
          <w:lang w:val="fr-FR"/>
        </w:rPr>
        <w:t xml:space="preserve"> Traitement de la plante et préparation des poudres</w:t>
      </w:r>
    </w:p>
    <w:p w:rsidR="002C1C73" w:rsidRPr="00991EE4" w:rsidRDefault="002C1C73" w:rsidP="002C1C73">
      <w:pPr>
        <w:spacing w:line="360" w:lineRule="auto"/>
        <w:ind w:firstLine="708"/>
        <w:jc w:val="both"/>
        <w:rPr>
          <w:rFonts w:ascii="Times New Roman" w:eastAsia="Times New Roman" w:hAnsi="Times New Roman" w:cs="Times New Roman"/>
          <w:sz w:val="20"/>
          <w:szCs w:val="20"/>
          <w:lang w:val="fr-FR"/>
        </w:rPr>
      </w:pPr>
      <w:r w:rsidRPr="00991EE4">
        <w:rPr>
          <w:rFonts w:ascii="Times New Roman" w:eastAsia="Calibri" w:hAnsi="Times New Roman" w:cs="Times New Roman"/>
          <w:sz w:val="20"/>
          <w:szCs w:val="20"/>
          <w:lang w:val="fr-FR"/>
        </w:rPr>
        <w:t xml:space="preserve">Après achat, les rhizomes ont été nettoyés, </w:t>
      </w:r>
      <w:r w:rsidRPr="00991EE4">
        <w:rPr>
          <w:rFonts w:ascii="Times New Roman" w:eastAsia="Calibri" w:hAnsi="Times New Roman" w:cs="Times New Roman"/>
          <w:color w:val="000000"/>
          <w:sz w:val="20"/>
          <w:szCs w:val="20"/>
          <w:lang w:val="fr-FR"/>
        </w:rPr>
        <w:t xml:space="preserve">découpés, </w:t>
      </w:r>
      <w:r w:rsidRPr="00991EE4">
        <w:rPr>
          <w:rFonts w:ascii="Times New Roman" w:eastAsia="Calibri" w:hAnsi="Times New Roman" w:cs="Times New Roman"/>
          <w:sz w:val="20"/>
          <w:szCs w:val="20"/>
          <w:lang w:val="fr-FR"/>
        </w:rPr>
        <w:t xml:space="preserve">séchés à l’étuve à 50º C </w:t>
      </w:r>
      <w:r w:rsidRPr="00991EE4">
        <w:rPr>
          <w:rFonts w:ascii="Times New Roman" w:eastAsia="Calibri" w:hAnsi="Times New Roman" w:cs="Times New Roman"/>
          <w:color w:val="000000"/>
          <w:sz w:val="20"/>
          <w:szCs w:val="20"/>
          <w:lang w:val="fr-FR"/>
        </w:rPr>
        <w:t xml:space="preserve">puis broyés. La </w:t>
      </w:r>
      <w:r w:rsidRPr="00991EE4">
        <w:rPr>
          <w:rFonts w:ascii="Times New Roman" w:eastAsia="Times New Roman" w:hAnsi="Times New Roman" w:cs="Times New Roman"/>
          <w:sz w:val="20"/>
          <w:szCs w:val="20"/>
          <w:lang w:val="fr-FR"/>
        </w:rPr>
        <w:t xml:space="preserve">poudre obtenue a été mise à macération dans de l’eau distillée pendant 48 heures. Le </w:t>
      </w:r>
      <w:proofErr w:type="spellStart"/>
      <w:r w:rsidRPr="00991EE4">
        <w:rPr>
          <w:rFonts w:ascii="Times New Roman" w:eastAsia="Times New Roman" w:hAnsi="Times New Roman" w:cs="Times New Roman"/>
          <w:sz w:val="20"/>
          <w:szCs w:val="20"/>
          <w:lang w:val="fr-FR"/>
        </w:rPr>
        <w:t>macerat</w:t>
      </w:r>
      <w:proofErr w:type="spellEnd"/>
      <w:r w:rsidRPr="00991EE4">
        <w:rPr>
          <w:rFonts w:ascii="Times New Roman" w:eastAsia="Times New Roman" w:hAnsi="Times New Roman" w:cs="Times New Roman"/>
          <w:sz w:val="20"/>
          <w:szCs w:val="20"/>
          <w:lang w:val="fr-FR"/>
        </w:rPr>
        <w:t xml:space="preserve"> a ensuite été filtré sur papier Wattman n°1 puis séché dans une étuve à 50°C pendant 5 jours.</w:t>
      </w:r>
    </w:p>
    <w:p w:rsidR="002C1C73" w:rsidRPr="00991EE4" w:rsidRDefault="002C1C73" w:rsidP="002C1C73">
      <w:pPr>
        <w:spacing w:line="360" w:lineRule="auto"/>
        <w:ind w:firstLine="708"/>
        <w:jc w:val="both"/>
        <w:rPr>
          <w:rFonts w:ascii="Times New Roman" w:eastAsia="Calibri" w:hAnsi="Times New Roman" w:cs="Times New Roman"/>
          <w:sz w:val="20"/>
          <w:szCs w:val="20"/>
          <w:lang w:val="fr-FR"/>
        </w:rPr>
      </w:pPr>
      <w:r w:rsidRPr="00991EE4">
        <w:rPr>
          <w:rFonts w:ascii="Times New Roman" w:eastAsia="Calibri" w:hAnsi="Times New Roman" w:cs="Times New Roman"/>
          <w:sz w:val="20"/>
          <w:szCs w:val="20"/>
          <w:lang w:val="fr-FR"/>
        </w:rPr>
        <w:t xml:space="preserve">Au terme de cette extraction, le rendement d’extraction (R) a été calculé par la formule suivante : </w:t>
      </w:r>
    </w:p>
    <w:p w:rsidR="002C1C73" w:rsidRPr="00991EE4" w:rsidRDefault="002C1C73" w:rsidP="002C1C73">
      <w:pPr>
        <w:spacing w:line="360" w:lineRule="auto"/>
        <w:ind w:firstLine="708"/>
        <w:jc w:val="both"/>
        <w:rPr>
          <w:rFonts w:ascii="Times New Roman" w:eastAsia="Times New Roman" w:hAnsi="Times New Roman" w:cs="Times New Roman"/>
          <w:sz w:val="20"/>
          <w:szCs w:val="20"/>
          <w:lang w:val="fr-FR"/>
        </w:rPr>
      </w:pPr>
      <m:oMathPara>
        <m:oMath>
          <m:r>
            <w:rPr>
              <w:rFonts w:ascii="Cambria Math" w:eastAsia="Calibri" w:hAnsi="Cambria Math" w:cs="Times New Roman"/>
              <w:sz w:val="20"/>
              <w:szCs w:val="20"/>
              <w:lang w:val="fr-FR"/>
            </w:rPr>
            <m:t xml:space="preserve">R= </m:t>
          </m:r>
          <m:f>
            <m:fPr>
              <m:ctrlPr>
                <w:rPr>
                  <w:rFonts w:ascii="Cambria Math" w:eastAsia="Calibri" w:hAnsi="Cambria Math" w:cs="Times New Roman"/>
                  <w:i/>
                  <w:sz w:val="20"/>
                  <w:szCs w:val="20"/>
                  <w:lang w:val="fr-FR"/>
                </w:rPr>
              </m:ctrlPr>
            </m:fPr>
            <m:num>
              <m:r>
                <m:rPr>
                  <m:sty m:val="p"/>
                </m:rPr>
                <w:rPr>
                  <w:rFonts w:ascii="Cambria Math" w:eastAsia="Calibri" w:hAnsi="Cambria Math" w:cs="Times New Roman"/>
                  <w:sz w:val="20"/>
                  <w:szCs w:val="20"/>
                  <w:lang w:val="fr-FR"/>
                </w:rPr>
                <m:t xml:space="preserve">masse de poudre brute de  départ - masse de </m:t>
              </m:r>
              <m:sSup>
                <m:sSupPr>
                  <m:ctrlPr>
                    <w:rPr>
                      <w:rFonts w:ascii="Cambria Math" w:eastAsia="Calibri" w:hAnsi="Cambria Math" w:cs="Times New Roman"/>
                      <w:sz w:val="20"/>
                      <w:szCs w:val="20"/>
                      <w:lang w:val="fr-FR"/>
                    </w:rPr>
                  </m:ctrlPr>
                </m:sSupPr>
                <m:e>
                  <m:r>
                    <m:rPr>
                      <m:sty m:val="p"/>
                    </m:rPr>
                    <w:rPr>
                      <w:rFonts w:ascii="Cambria Math" w:eastAsia="Calibri" w:hAnsi="Cambria Math" w:cs="Times New Roman"/>
                      <w:sz w:val="20"/>
                      <w:szCs w:val="20"/>
                      <w:lang w:val="fr-FR"/>
                    </w:rPr>
                    <m:t>l</m:t>
                  </m:r>
                </m:e>
                <m:sup>
                  <m:r>
                    <m:rPr>
                      <m:sty m:val="p"/>
                    </m:rPr>
                    <w:rPr>
                      <w:rFonts w:ascii="Cambria Math" w:eastAsia="Calibri" w:hAnsi="Cambria Math" w:cs="Times New Roman"/>
                      <w:sz w:val="20"/>
                      <w:szCs w:val="20"/>
                      <w:lang w:val="fr-FR"/>
                    </w:rPr>
                    <m:t>'</m:t>
                  </m:r>
                </m:sup>
              </m:sSup>
              <m:r>
                <m:rPr>
                  <m:sty m:val="p"/>
                </m:rPr>
                <w:rPr>
                  <w:rFonts w:ascii="Cambria Math" w:eastAsia="Calibri" w:hAnsi="Cambria Math" w:cs="Times New Roman"/>
                  <w:sz w:val="20"/>
                  <w:szCs w:val="20"/>
                  <w:lang w:val="fr-FR"/>
                </w:rPr>
                <m:t>extrait séché</m:t>
              </m:r>
              <m:r>
                <w:rPr>
                  <w:rFonts w:ascii="Cambria Math" w:eastAsia="Calibri" w:hAnsi="Cambria Math" w:cs="Times New Roman"/>
                  <w:sz w:val="20"/>
                  <w:szCs w:val="20"/>
                  <w:lang w:val="fr-FR"/>
                </w:rPr>
                <m:t xml:space="preserve"> </m:t>
              </m:r>
            </m:num>
            <m:den>
              <m:r>
                <m:rPr>
                  <m:sty m:val="p"/>
                </m:rPr>
                <w:rPr>
                  <w:rFonts w:ascii="Cambria Math" w:eastAsia="Calibri" w:hAnsi="Cambria Math" w:cs="Times New Roman"/>
                  <w:sz w:val="20"/>
                  <w:szCs w:val="20"/>
                  <w:lang w:val="fr-FR"/>
                </w:rPr>
                <m:t>masse de poudre brute de départ</m:t>
              </m:r>
            </m:den>
          </m:f>
          <m:r>
            <w:rPr>
              <w:rFonts w:ascii="Cambria Math" w:eastAsia="Calibri" w:hAnsi="Cambria Math" w:cs="Times New Roman"/>
              <w:sz w:val="20"/>
              <w:szCs w:val="20"/>
              <w:lang w:val="fr-FR"/>
            </w:rPr>
            <m:t xml:space="preserve"> ×100 </m:t>
          </m:r>
        </m:oMath>
      </m:oMathPara>
    </w:p>
    <w:p w:rsidR="002C1C73" w:rsidRPr="00991EE4" w:rsidRDefault="002C1C73" w:rsidP="002C1C73">
      <w:pPr>
        <w:spacing w:line="360" w:lineRule="auto"/>
        <w:ind w:firstLine="708"/>
        <w:jc w:val="both"/>
        <w:rPr>
          <w:rFonts w:ascii="Times New Roman" w:eastAsia="Times New Roman" w:hAnsi="Times New Roman" w:cs="Times New Roman"/>
          <w:sz w:val="20"/>
          <w:szCs w:val="20"/>
          <w:lang w:val="fr-FR"/>
        </w:rPr>
      </w:pPr>
      <w:r w:rsidRPr="00991EE4">
        <w:rPr>
          <w:rFonts w:ascii="Times New Roman" w:eastAsia="Times New Roman" w:hAnsi="Times New Roman" w:cs="Times New Roman"/>
          <w:sz w:val="20"/>
          <w:szCs w:val="20"/>
          <w:lang w:val="fr-FR"/>
        </w:rPr>
        <w:t>Cet extrait aqueux séché a été broyée au mortier en une poudre fine</w:t>
      </w:r>
    </w:p>
    <w:p w:rsidR="002C1C73" w:rsidRPr="0087132F" w:rsidRDefault="008C0735" w:rsidP="002C1C73">
      <w:pPr>
        <w:spacing w:line="360" w:lineRule="auto"/>
        <w:ind w:left="708" w:firstLine="708"/>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I-2-2</w:t>
      </w:r>
      <w:r w:rsidRPr="0087132F">
        <w:rPr>
          <w:rFonts w:ascii="Times New Roman" w:eastAsia="Calibri" w:hAnsi="Times New Roman" w:cs="Times New Roman"/>
          <w:sz w:val="20"/>
          <w:szCs w:val="20"/>
          <w:lang w:val="fr-FR"/>
        </w:rPr>
        <w:t>.</w:t>
      </w:r>
      <w:r w:rsidR="002C1C73" w:rsidRPr="0087132F">
        <w:rPr>
          <w:rFonts w:ascii="Times New Roman" w:eastAsia="Calibri" w:hAnsi="Times New Roman" w:cs="Times New Roman"/>
          <w:sz w:val="20"/>
          <w:szCs w:val="20"/>
          <w:lang w:val="fr-FR"/>
        </w:rPr>
        <w:t xml:space="preserve"> Caractères physicochimiques des poudres</w:t>
      </w:r>
    </w:p>
    <w:p w:rsidR="0087132F" w:rsidRDefault="002C1C73"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bCs/>
          <w:sz w:val="20"/>
          <w:szCs w:val="20"/>
          <w:lang w:val="fr-FR"/>
        </w:rPr>
        <w:t xml:space="preserve">Caractères </w:t>
      </w:r>
      <w:proofErr w:type="gramStart"/>
      <w:r w:rsidRPr="0087132F">
        <w:rPr>
          <w:rFonts w:ascii="Times New Roman" w:eastAsia="Calibri" w:hAnsi="Times New Roman" w:cs="Times New Roman"/>
          <w:bCs/>
          <w:sz w:val="20"/>
          <w:szCs w:val="20"/>
          <w:lang w:val="fr-FR"/>
        </w:rPr>
        <w:t>organoleptiques</w:t>
      </w:r>
      <w:r w:rsidRPr="0087132F">
        <w:rPr>
          <w:rFonts w:ascii="Times New Roman" w:eastAsia="Calibri" w:hAnsi="Times New Roman" w:cs="Times New Roman"/>
          <w:b/>
          <w:bCs/>
          <w:sz w:val="20"/>
          <w:szCs w:val="20"/>
          <w:lang w:val="fr-FR"/>
        </w:rPr>
        <w:t> </w:t>
      </w:r>
      <w:r w:rsidR="0087132F">
        <w:rPr>
          <w:rFonts w:ascii="Times New Roman" w:eastAsia="Calibri" w:hAnsi="Times New Roman" w:cs="Times New Roman"/>
          <w:sz w:val="20"/>
          <w:szCs w:val="20"/>
          <w:lang w:val="fr-FR"/>
        </w:rPr>
        <w:t>.</w:t>
      </w:r>
      <w:proofErr w:type="gramEnd"/>
    </w:p>
    <w:p w:rsidR="002C1C73" w:rsidRPr="0087132F" w:rsidRDefault="002C1C73" w:rsidP="002C1C73">
      <w:pPr>
        <w:spacing w:line="360" w:lineRule="auto"/>
        <w:ind w:left="720" w:firstLine="696"/>
        <w:contextualSpacing/>
        <w:jc w:val="both"/>
        <w:rPr>
          <w:rFonts w:ascii="Times New Roman" w:eastAsia="Calibri" w:hAnsi="Times New Roman" w:cs="Times New Roman"/>
          <w:b/>
          <w:bCs/>
          <w:sz w:val="20"/>
          <w:szCs w:val="20"/>
          <w:lang w:val="fr-FR"/>
        </w:rPr>
      </w:pPr>
      <w:r w:rsidRPr="0087132F">
        <w:rPr>
          <w:rFonts w:ascii="Times New Roman" w:eastAsia="Calibri" w:hAnsi="Times New Roman" w:cs="Times New Roman"/>
          <w:b/>
          <w:bCs/>
          <w:sz w:val="20"/>
          <w:szCs w:val="20"/>
          <w:lang w:val="fr-FR"/>
        </w:rPr>
        <w:t xml:space="preserve"> </w:t>
      </w:r>
      <w:r w:rsidR="0087132F">
        <w:rPr>
          <w:rFonts w:ascii="Times New Roman" w:eastAsia="Calibri" w:hAnsi="Times New Roman" w:cs="Times New Roman"/>
          <w:sz w:val="20"/>
          <w:szCs w:val="20"/>
          <w:lang w:val="fr-FR"/>
        </w:rPr>
        <w:t>L</w:t>
      </w:r>
      <w:r w:rsidRPr="0087132F">
        <w:rPr>
          <w:rFonts w:ascii="Times New Roman" w:eastAsia="Calibri" w:hAnsi="Times New Roman" w:cs="Times New Roman"/>
          <w:sz w:val="20"/>
          <w:szCs w:val="20"/>
          <w:lang w:val="fr-FR"/>
        </w:rPr>
        <w:t xml:space="preserve">a détermination des caractères organoleptiques a consisté à observer la poudre brute de </w:t>
      </w:r>
      <w:proofErr w:type="spellStart"/>
      <w:r w:rsidRPr="0087132F">
        <w:rPr>
          <w:rFonts w:ascii="Times New Roman" w:eastAsia="Calibri" w:hAnsi="Times New Roman" w:cs="Times New Roman"/>
          <w:i/>
          <w:iCs/>
          <w:sz w:val="20"/>
          <w:szCs w:val="20"/>
          <w:lang w:val="fr-FR"/>
        </w:rPr>
        <w:t>Zingiber</w:t>
      </w:r>
      <w:proofErr w:type="spellEnd"/>
      <w:r w:rsidRPr="0087132F">
        <w:rPr>
          <w:rFonts w:ascii="Times New Roman" w:eastAsia="Calibri" w:hAnsi="Times New Roman" w:cs="Times New Roman"/>
          <w:i/>
          <w:iCs/>
          <w:sz w:val="20"/>
          <w:szCs w:val="20"/>
          <w:lang w:val="fr-FR"/>
        </w:rPr>
        <w:t xml:space="preserve"> officinale</w:t>
      </w:r>
      <w:r w:rsidRPr="0087132F">
        <w:rPr>
          <w:rFonts w:ascii="Times New Roman" w:eastAsia="Calibri" w:hAnsi="Times New Roman" w:cs="Times New Roman"/>
          <w:iCs/>
          <w:sz w:val="20"/>
          <w:szCs w:val="20"/>
          <w:lang w:val="fr-FR"/>
        </w:rPr>
        <w:t xml:space="preserve"> et la poudre d’extrait aqueux </w:t>
      </w:r>
      <w:proofErr w:type="spellStart"/>
      <w:r w:rsidRPr="0087132F">
        <w:rPr>
          <w:rFonts w:ascii="Times New Roman" w:eastAsia="Calibri" w:hAnsi="Times New Roman" w:cs="Times New Roman"/>
          <w:iCs/>
          <w:sz w:val="20"/>
          <w:szCs w:val="20"/>
          <w:lang w:val="fr-FR"/>
        </w:rPr>
        <w:t>seché</w:t>
      </w:r>
      <w:proofErr w:type="spellEnd"/>
      <w:r w:rsidRPr="0087132F">
        <w:rPr>
          <w:rFonts w:ascii="Times New Roman" w:eastAsia="Calibri" w:hAnsi="Times New Roman" w:cs="Times New Roman"/>
          <w:sz w:val="20"/>
          <w:szCs w:val="20"/>
          <w:lang w:val="fr-FR"/>
        </w:rPr>
        <w:t>, à les toucher, à les sentir et à les goûter ;</w:t>
      </w:r>
    </w:p>
    <w:p w:rsidR="0087132F" w:rsidRDefault="0087132F" w:rsidP="002C1C73">
      <w:pPr>
        <w:spacing w:line="360" w:lineRule="auto"/>
        <w:ind w:left="720" w:firstLine="696"/>
        <w:contextualSpacing/>
        <w:jc w:val="both"/>
        <w:rPr>
          <w:rFonts w:ascii="Times New Roman" w:eastAsia="Calibri" w:hAnsi="Times New Roman" w:cs="Times New Roman"/>
          <w:bCs/>
          <w:sz w:val="20"/>
          <w:szCs w:val="20"/>
          <w:lang w:val="fr-FR"/>
        </w:rPr>
      </w:pPr>
    </w:p>
    <w:p w:rsidR="0087132F" w:rsidRDefault="0087132F" w:rsidP="002C1C73">
      <w:pPr>
        <w:spacing w:line="360" w:lineRule="auto"/>
        <w:ind w:left="720" w:firstLine="696"/>
        <w:contextualSpacing/>
        <w:jc w:val="both"/>
        <w:rPr>
          <w:rFonts w:ascii="Times New Roman" w:eastAsia="Calibri" w:hAnsi="Times New Roman" w:cs="Times New Roman"/>
          <w:bCs/>
          <w:sz w:val="20"/>
          <w:szCs w:val="20"/>
          <w:lang w:val="fr-FR"/>
        </w:rPr>
      </w:pPr>
    </w:p>
    <w:p w:rsidR="0087132F" w:rsidRPr="0087132F" w:rsidRDefault="002C1C73"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bCs/>
          <w:sz w:val="20"/>
          <w:szCs w:val="20"/>
          <w:lang w:val="fr-FR"/>
        </w:rPr>
        <w:lastRenderedPageBreak/>
        <w:t xml:space="preserve">Détermination du </w:t>
      </w:r>
      <w:proofErr w:type="gramStart"/>
      <w:r w:rsidRPr="0087132F">
        <w:rPr>
          <w:rFonts w:ascii="Times New Roman" w:eastAsia="Calibri" w:hAnsi="Times New Roman" w:cs="Times New Roman"/>
          <w:bCs/>
          <w:sz w:val="20"/>
          <w:szCs w:val="20"/>
          <w:lang w:val="fr-FR"/>
        </w:rPr>
        <w:t>pH</w:t>
      </w:r>
      <w:r w:rsidRPr="0087132F">
        <w:rPr>
          <w:rFonts w:ascii="Times New Roman" w:eastAsia="Calibri" w:hAnsi="Times New Roman" w:cs="Times New Roman"/>
          <w:b/>
          <w:bCs/>
          <w:sz w:val="20"/>
          <w:szCs w:val="20"/>
          <w:lang w:val="fr-FR"/>
        </w:rPr>
        <w:t> </w:t>
      </w:r>
      <w:r w:rsidR="0087132F" w:rsidRPr="0087132F">
        <w:rPr>
          <w:rFonts w:ascii="Times New Roman" w:eastAsia="Calibri" w:hAnsi="Times New Roman" w:cs="Times New Roman"/>
          <w:sz w:val="20"/>
          <w:szCs w:val="20"/>
          <w:lang w:val="fr-FR"/>
        </w:rPr>
        <w:t>.</w:t>
      </w:r>
      <w:proofErr w:type="gramEnd"/>
    </w:p>
    <w:p w:rsidR="002C1C73" w:rsidRPr="0087132F" w:rsidRDefault="0087132F"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sz w:val="20"/>
          <w:szCs w:val="20"/>
          <w:lang w:val="fr-FR"/>
        </w:rPr>
        <w:t>L</w:t>
      </w:r>
      <w:r w:rsidR="002C1C73" w:rsidRPr="0087132F">
        <w:rPr>
          <w:rFonts w:ascii="Times New Roman" w:eastAsia="Calibri" w:hAnsi="Times New Roman" w:cs="Times New Roman"/>
          <w:sz w:val="20"/>
          <w:szCs w:val="20"/>
          <w:lang w:val="fr-FR"/>
        </w:rPr>
        <w:t>e pH a été déterminé 3 fois au pH-mètre sur une dispersion à 10 % dans de l'eau distillée et la moyenne a été prise en compte ;</w:t>
      </w:r>
    </w:p>
    <w:p w:rsidR="0087132F" w:rsidRPr="0087132F" w:rsidRDefault="002C1C73"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bCs/>
          <w:sz w:val="20"/>
          <w:szCs w:val="20"/>
          <w:lang w:val="fr-FR"/>
        </w:rPr>
        <w:t xml:space="preserve">Détermination de la </w:t>
      </w:r>
      <w:proofErr w:type="gramStart"/>
      <w:r w:rsidRPr="0087132F">
        <w:rPr>
          <w:rFonts w:ascii="Times New Roman" w:eastAsia="Calibri" w:hAnsi="Times New Roman" w:cs="Times New Roman"/>
          <w:bCs/>
          <w:sz w:val="20"/>
          <w:szCs w:val="20"/>
          <w:lang w:val="fr-FR"/>
        </w:rPr>
        <w:t>solubilité</w:t>
      </w:r>
      <w:r w:rsidRPr="0087132F">
        <w:rPr>
          <w:rFonts w:ascii="Times New Roman" w:eastAsia="Calibri" w:hAnsi="Times New Roman" w:cs="Times New Roman"/>
          <w:b/>
          <w:bCs/>
          <w:sz w:val="20"/>
          <w:szCs w:val="20"/>
          <w:lang w:val="fr-FR"/>
        </w:rPr>
        <w:t> </w:t>
      </w:r>
      <w:r w:rsidR="0087132F" w:rsidRPr="0087132F">
        <w:rPr>
          <w:rFonts w:ascii="Times New Roman" w:eastAsia="Calibri" w:hAnsi="Times New Roman" w:cs="Times New Roman"/>
          <w:sz w:val="20"/>
          <w:szCs w:val="20"/>
          <w:lang w:val="fr-FR"/>
        </w:rPr>
        <w:t>.</w:t>
      </w:r>
      <w:proofErr w:type="gramEnd"/>
    </w:p>
    <w:p w:rsidR="002C1C73" w:rsidRPr="0087132F" w:rsidRDefault="0087132F"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sz w:val="20"/>
          <w:szCs w:val="20"/>
          <w:lang w:val="fr-FR"/>
        </w:rPr>
        <w:t xml:space="preserve"> P</w:t>
      </w:r>
      <w:r w:rsidR="002C1C73" w:rsidRPr="0087132F">
        <w:rPr>
          <w:rFonts w:ascii="Times New Roman" w:eastAsia="Calibri" w:hAnsi="Times New Roman" w:cs="Times New Roman"/>
          <w:sz w:val="20"/>
          <w:szCs w:val="20"/>
          <w:lang w:val="fr-FR"/>
        </w:rPr>
        <w:t xml:space="preserve">our la déterminer, 100 mg ont été mis en suspension dans 10 ml d'eau </w:t>
      </w:r>
      <w:proofErr w:type="spellStart"/>
      <w:r w:rsidR="002C1C73" w:rsidRPr="0087132F">
        <w:rPr>
          <w:rFonts w:ascii="Times New Roman" w:eastAsia="Calibri" w:hAnsi="Times New Roman" w:cs="Times New Roman"/>
          <w:sz w:val="20"/>
          <w:szCs w:val="20"/>
          <w:lang w:val="fr-FR"/>
        </w:rPr>
        <w:t>osmosée</w:t>
      </w:r>
      <w:proofErr w:type="spellEnd"/>
      <w:r w:rsidR="002C1C73" w:rsidRPr="0087132F">
        <w:rPr>
          <w:rFonts w:ascii="Times New Roman" w:eastAsia="Calibri" w:hAnsi="Times New Roman" w:cs="Times New Roman"/>
          <w:sz w:val="20"/>
          <w:szCs w:val="20"/>
          <w:lang w:val="fr-FR"/>
        </w:rPr>
        <w:t>. Des volumes croissants d'eau ont ensuite été ajoutés sous agitation magnétique, avec une vérification visuelle de la disparition des particules ;</w:t>
      </w:r>
    </w:p>
    <w:p w:rsidR="0087132F" w:rsidRPr="0087132F" w:rsidRDefault="002C1C73"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bCs/>
          <w:sz w:val="20"/>
          <w:szCs w:val="20"/>
          <w:lang w:val="fr-FR"/>
        </w:rPr>
        <w:t xml:space="preserve">Screening </w:t>
      </w:r>
      <w:proofErr w:type="spellStart"/>
      <w:proofErr w:type="gramStart"/>
      <w:r w:rsidRPr="0087132F">
        <w:rPr>
          <w:rFonts w:ascii="Times New Roman" w:eastAsia="Calibri" w:hAnsi="Times New Roman" w:cs="Times New Roman"/>
          <w:bCs/>
          <w:sz w:val="20"/>
          <w:szCs w:val="20"/>
          <w:lang w:val="fr-FR"/>
        </w:rPr>
        <w:t>phytochimique</w:t>
      </w:r>
      <w:proofErr w:type="spellEnd"/>
      <w:r w:rsidRPr="0087132F">
        <w:rPr>
          <w:rFonts w:ascii="Times New Roman" w:eastAsia="Calibri" w:hAnsi="Times New Roman" w:cs="Times New Roman"/>
          <w:bCs/>
          <w:sz w:val="20"/>
          <w:szCs w:val="20"/>
          <w:lang w:val="fr-FR"/>
        </w:rPr>
        <w:t> </w:t>
      </w:r>
      <w:r w:rsidR="0087132F" w:rsidRPr="0087132F">
        <w:rPr>
          <w:rFonts w:ascii="Times New Roman" w:eastAsia="Calibri" w:hAnsi="Times New Roman" w:cs="Times New Roman"/>
          <w:sz w:val="20"/>
          <w:szCs w:val="20"/>
          <w:lang w:val="fr-FR"/>
        </w:rPr>
        <w:t>.</w:t>
      </w:r>
      <w:proofErr w:type="gramEnd"/>
    </w:p>
    <w:p w:rsidR="002C1C73" w:rsidRPr="0087132F" w:rsidRDefault="0087132F" w:rsidP="002C1C73">
      <w:pPr>
        <w:spacing w:line="360" w:lineRule="auto"/>
        <w:ind w:left="720" w:firstLine="696"/>
        <w:contextualSpacing/>
        <w:jc w:val="both"/>
        <w:rPr>
          <w:rFonts w:ascii="Times New Roman" w:eastAsia="Calibri" w:hAnsi="Times New Roman" w:cs="Times New Roman"/>
          <w:b/>
          <w:bCs/>
          <w:sz w:val="20"/>
          <w:szCs w:val="20"/>
          <w:lang w:val="fr-FR"/>
        </w:rPr>
      </w:pPr>
      <w:r w:rsidRPr="0087132F">
        <w:rPr>
          <w:rFonts w:ascii="Times New Roman" w:eastAsia="Calibri" w:hAnsi="Times New Roman" w:cs="Times New Roman"/>
          <w:sz w:val="20"/>
          <w:szCs w:val="20"/>
          <w:lang w:val="fr-FR"/>
        </w:rPr>
        <w:t xml:space="preserve"> D</w:t>
      </w:r>
      <w:r w:rsidR="002C1C73" w:rsidRPr="0087132F">
        <w:rPr>
          <w:rFonts w:ascii="Times New Roman" w:eastAsia="Calibri" w:hAnsi="Times New Roman" w:cs="Times New Roman"/>
          <w:sz w:val="20"/>
          <w:szCs w:val="20"/>
          <w:lang w:val="fr-FR"/>
        </w:rPr>
        <w:t xml:space="preserve">es tests de précipitation et de coloration utilisant des réactifs standards ont été réalisés pour déterminer les groupes </w:t>
      </w:r>
      <w:proofErr w:type="spellStart"/>
      <w:r w:rsidR="002C1C73" w:rsidRPr="0087132F">
        <w:rPr>
          <w:rFonts w:ascii="Times New Roman" w:eastAsia="Calibri" w:hAnsi="Times New Roman" w:cs="Times New Roman"/>
          <w:sz w:val="20"/>
          <w:szCs w:val="20"/>
          <w:lang w:val="fr-FR"/>
        </w:rPr>
        <w:t>phytochimiques</w:t>
      </w:r>
      <w:proofErr w:type="spellEnd"/>
      <w:r w:rsidR="002C1C73" w:rsidRPr="0087132F">
        <w:rPr>
          <w:rFonts w:ascii="Times New Roman" w:eastAsia="Calibri" w:hAnsi="Times New Roman" w:cs="Times New Roman"/>
          <w:sz w:val="20"/>
          <w:szCs w:val="20"/>
          <w:lang w:val="fr-FR"/>
        </w:rPr>
        <w:t xml:space="preserve"> présents dans les poudres ;</w:t>
      </w:r>
    </w:p>
    <w:p w:rsidR="0087132F" w:rsidRPr="0087132F" w:rsidRDefault="002C1C73"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bCs/>
          <w:sz w:val="20"/>
          <w:szCs w:val="20"/>
          <w:lang w:val="fr-FR"/>
        </w:rPr>
        <w:t xml:space="preserve">Dosage des polyphénols </w:t>
      </w:r>
      <w:proofErr w:type="gramStart"/>
      <w:r w:rsidRPr="0087132F">
        <w:rPr>
          <w:rFonts w:ascii="Times New Roman" w:eastAsia="Calibri" w:hAnsi="Times New Roman" w:cs="Times New Roman"/>
          <w:bCs/>
          <w:sz w:val="20"/>
          <w:szCs w:val="20"/>
          <w:lang w:val="fr-FR"/>
        </w:rPr>
        <w:t>totaux</w:t>
      </w:r>
      <w:r w:rsidRPr="0087132F">
        <w:rPr>
          <w:rFonts w:ascii="Times New Roman" w:eastAsia="Calibri" w:hAnsi="Times New Roman" w:cs="Times New Roman"/>
          <w:b/>
          <w:bCs/>
          <w:sz w:val="20"/>
          <w:szCs w:val="20"/>
          <w:lang w:val="fr-FR"/>
        </w:rPr>
        <w:t> </w:t>
      </w:r>
      <w:r w:rsidR="0087132F" w:rsidRPr="0087132F">
        <w:rPr>
          <w:rFonts w:ascii="Times New Roman" w:eastAsia="Calibri" w:hAnsi="Times New Roman" w:cs="Times New Roman"/>
          <w:sz w:val="20"/>
          <w:szCs w:val="20"/>
          <w:lang w:val="fr-FR"/>
        </w:rPr>
        <w:t>.</w:t>
      </w:r>
      <w:proofErr w:type="gramEnd"/>
    </w:p>
    <w:p w:rsidR="002C1C73" w:rsidRDefault="0087132F"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sz w:val="20"/>
          <w:szCs w:val="20"/>
          <w:lang w:val="fr-FR"/>
        </w:rPr>
        <w:t xml:space="preserve"> U</w:t>
      </w:r>
      <w:r w:rsidR="002C1C73" w:rsidRPr="0087132F">
        <w:rPr>
          <w:rFonts w:ascii="Times New Roman" w:eastAsia="Calibri" w:hAnsi="Times New Roman" w:cs="Times New Roman"/>
          <w:sz w:val="20"/>
          <w:szCs w:val="20"/>
          <w:lang w:val="fr-FR"/>
        </w:rPr>
        <w:t xml:space="preserve">ne solution à base de poudre et d’eau distillée a été préparée à la concentration de 4 mg/ml puis a été mélangé à 0,75 ml de réactif de </w:t>
      </w:r>
      <w:proofErr w:type="spellStart"/>
      <w:r w:rsidR="002C1C73" w:rsidRPr="0087132F">
        <w:rPr>
          <w:rFonts w:ascii="Times New Roman" w:eastAsia="Calibri" w:hAnsi="Times New Roman" w:cs="Times New Roman"/>
          <w:sz w:val="20"/>
          <w:szCs w:val="20"/>
          <w:lang w:val="fr-FR"/>
        </w:rPr>
        <w:t>Folin-Ciocalteu</w:t>
      </w:r>
      <w:proofErr w:type="spellEnd"/>
      <w:r w:rsidR="002C1C73" w:rsidRPr="0087132F">
        <w:rPr>
          <w:rFonts w:ascii="Times New Roman" w:eastAsia="Calibri" w:hAnsi="Times New Roman" w:cs="Times New Roman"/>
          <w:sz w:val="20"/>
          <w:szCs w:val="20"/>
          <w:lang w:val="fr-FR"/>
        </w:rPr>
        <w:t xml:space="preserve"> dilué au 10</w:t>
      </w:r>
      <w:r w:rsidR="002C1C73" w:rsidRPr="0087132F">
        <w:rPr>
          <w:rFonts w:ascii="Times New Roman" w:eastAsia="Calibri" w:hAnsi="Times New Roman" w:cs="Times New Roman"/>
          <w:sz w:val="20"/>
          <w:szCs w:val="20"/>
          <w:vertAlign w:val="superscript"/>
          <w:lang w:val="fr-FR"/>
        </w:rPr>
        <w:t>eme</w:t>
      </w:r>
      <w:r w:rsidR="002C1C73" w:rsidRPr="0087132F">
        <w:rPr>
          <w:rFonts w:ascii="Times New Roman" w:eastAsia="Calibri" w:hAnsi="Times New Roman" w:cs="Times New Roman"/>
          <w:sz w:val="20"/>
          <w:szCs w:val="20"/>
          <w:lang w:val="fr-FR"/>
        </w:rPr>
        <w:t>. L’ensemble du mélange a été incubé 5 mn à température ambiante (25°C) ; puis 0,75 ml d’une solution de carbonate de sodium 6 % a été ajoutée. Le mélange a été homogénéisé et incubé pendant 90 mn à température ambiante et à l’obscurité puis l’absorbance a été lue à 725 nm au spectrophotomètre contre un blanc réactif. Une gamme de concentration d’acide gallique (0-1000 µg/ml) a été utilisée comme référence et la teneur en polyphénols totaux a été exprimée en milligramme équivalent acide gallique par gramme (mg EAG/g) de matière sèche. Le test</w:t>
      </w:r>
      <w:r w:rsidR="002C1C73" w:rsidRPr="0087132F">
        <w:rPr>
          <w:rFonts w:ascii="Times New Roman" w:eastAsia="Calibri" w:hAnsi="Times New Roman" w:cs="Times New Roman"/>
          <w:color w:val="000000"/>
          <w:sz w:val="20"/>
          <w:szCs w:val="20"/>
          <w:lang w:val="fr-FR" w:eastAsia="fr-FR" w:bidi="he-IL"/>
        </w:rPr>
        <w:t xml:space="preserve"> </w:t>
      </w:r>
      <w:r w:rsidR="002C1C73" w:rsidRPr="0087132F">
        <w:rPr>
          <w:rFonts w:ascii="Times New Roman" w:eastAsia="Calibri" w:hAnsi="Times New Roman" w:cs="Times New Roman"/>
          <w:sz w:val="20"/>
          <w:szCs w:val="20"/>
          <w:lang w:val="fr-FR"/>
        </w:rPr>
        <w:t>a été répété 3 fois et la moyenne a été prise en compte.</w:t>
      </w:r>
    </w:p>
    <w:p w:rsidR="0087132F" w:rsidRPr="0087132F" w:rsidRDefault="0087132F" w:rsidP="002C1C73">
      <w:pPr>
        <w:spacing w:line="360" w:lineRule="auto"/>
        <w:ind w:left="720" w:firstLine="696"/>
        <w:contextualSpacing/>
        <w:jc w:val="both"/>
        <w:rPr>
          <w:rFonts w:ascii="Times New Roman" w:eastAsia="Calibri" w:hAnsi="Times New Roman" w:cs="Times New Roman"/>
          <w:sz w:val="20"/>
          <w:szCs w:val="20"/>
          <w:lang w:val="fr-FR"/>
        </w:rPr>
      </w:pPr>
    </w:p>
    <w:p w:rsidR="002C1C73" w:rsidRPr="0087132F" w:rsidRDefault="002C1C73" w:rsidP="002C1C73">
      <w:pPr>
        <w:spacing w:line="360" w:lineRule="auto"/>
        <w:ind w:left="708" w:firstLine="708"/>
        <w:jc w:val="both"/>
        <w:rPr>
          <w:rFonts w:ascii="Times New Roman" w:eastAsia="Calibri" w:hAnsi="Times New Roman" w:cs="Times New Roman"/>
          <w:b/>
          <w:sz w:val="20"/>
          <w:szCs w:val="20"/>
          <w:lang w:val="fr-FR"/>
        </w:rPr>
      </w:pPr>
      <w:r w:rsidRPr="0087132F">
        <w:rPr>
          <w:rFonts w:ascii="Times New Roman" w:eastAsia="Calibri" w:hAnsi="Times New Roman" w:cs="Times New Roman"/>
          <w:b/>
          <w:sz w:val="20"/>
          <w:szCs w:val="20"/>
          <w:lang w:val="fr-FR"/>
        </w:rPr>
        <w:t>I-2-3) Formulation, fabrication et contrôle des gélules</w:t>
      </w:r>
    </w:p>
    <w:p w:rsidR="0087132F" w:rsidRPr="0087132F" w:rsidRDefault="002C1C73" w:rsidP="002C1C73">
      <w:pPr>
        <w:spacing w:line="360" w:lineRule="auto"/>
        <w:ind w:left="720" w:firstLine="696"/>
        <w:contextualSpacing/>
        <w:jc w:val="both"/>
        <w:rPr>
          <w:rFonts w:ascii="Times New Roman" w:eastAsia="Calibri" w:hAnsi="Times New Roman" w:cs="Times New Roman"/>
          <w:sz w:val="20"/>
          <w:szCs w:val="20"/>
          <w:lang w:val="fr-FR"/>
        </w:rPr>
      </w:pPr>
      <w:r w:rsidRPr="0087132F">
        <w:rPr>
          <w:rFonts w:ascii="Times New Roman" w:eastAsia="Calibri" w:hAnsi="Times New Roman" w:cs="Times New Roman"/>
          <w:bCs/>
          <w:sz w:val="20"/>
          <w:szCs w:val="20"/>
          <w:lang w:val="fr-FR"/>
        </w:rPr>
        <w:t xml:space="preserve">Détermination de la dose </w:t>
      </w:r>
      <w:r w:rsidR="0087132F" w:rsidRPr="0087132F">
        <w:rPr>
          <w:rFonts w:ascii="Times New Roman" w:eastAsia="Calibri" w:hAnsi="Times New Roman" w:cs="Times New Roman"/>
          <w:bCs/>
          <w:sz w:val="20"/>
          <w:szCs w:val="20"/>
          <w:lang w:val="fr-FR"/>
        </w:rPr>
        <w:t>quotidienne</w:t>
      </w:r>
      <w:r w:rsidR="0087132F" w:rsidRPr="0087132F">
        <w:rPr>
          <w:rFonts w:ascii="Times New Roman" w:eastAsia="Calibri" w:hAnsi="Times New Roman" w:cs="Times New Roman"/>
          <w:b/>
          <w:bCs/>
          <w:sz w:val="20"/>
          <w:szCs w:val="20"/>
          <w:lang w:val="fr-FR"/>
        </w:rPr>
        <w:t>.</w:t>
      </w:r>
    </w:p>
    <w:p w:rsidR="002C1C73" w:rsidRPr="00D87D7B" w:rsidRDefault="002C1C73" w:rsidP="002C1C73">
      <w:pPr>
        <w:spacing w:line="360" w:lineRule="auto"/>
        <w:ind w:left="720" w:firstLine="696"/>
        <w:contextualSpacing/>
        <w:jc w:val="both"/>
        <w:rPr>
          <w:rFonts w:ascii="Times New Roman" w:eastAsia="Calibri" w:hAnsi="Times New Roman" w:cs="Times New Roman"/>
          <w:bCs/>
          <w:sz w:val="24"/>
          <w:szCs w:val="24"/>
          <w:lang w:val="fr-FR"/>
        </w:rPr>
      </w:pPr>
      <w:r w:rsidRPr="0087132F">
        <w:rPr>
          <w:rFonts w:ascii="Times New Roman" w:eastAsia="Calibri" w:hAnsi="Times New Roman" w:cs="Times New Roman"/>
          <w:sz w:val="20"/>
          <w:szCs w:val="20"/>
          <w:lang w:val="fr-FR"/>
        </w:rPr>
        <w:t xml:space="preserve"> </w:t>
      </w:r>
      <w:r w:rsidR="0087132F" w:rsidRPr="0087132F">
        <w:rPr>
          <w:rFonts w:ascii="Times New Roman" w:eastAsia="Calibri" w:hAnsi="Times New Roman" w:cs="Times New Roman"/>
          <w:bCs/>
          <w:sz w:val="20"/>
          <w:szCs w:val="20"/>
          <w:lang w:val="fr-FR"/>
        </w:rPr>
        <w:t>L</w:t>
      </w:r>
      <w:r w:rsidRPr="0087132F">
        <w:rPr>
          <w:rFonts w:ascii="Times New Roman" w:eastAsia="Calibri" w:hAnsi="Times New Roman" w:cs="Times New Roman"/>
          <w:bCs/>
          <w:sz w:val="20"/>
          <w:szCs w:val="20"/>
          <w:lang w:val="fr-FR"/>
        </w:rPr>
        <w:t>es résultats des études précliniques ont été utilisés pour établir la dose humaine équivalente (DHE) par rapport à celle obtenue chez les animaux, selon les recommandations de la Food &amp; Drug Administration du tableau 1</w:t>
      </w:r>
      <w:r w:rsidRPr="00991EE4">
        <w:rPr>
          <w:rFonts w:ascii="Times New Roman" w:eastAsia="Calibri" w:hAnsi="Times New Roman" w:cs="Times New Roman"/>
          <w:bCs/>
          <w:lang w:val="fr-FR"/>
        </w:rPr>
        <w:t>.</w:t>
      </w:r>
    </w:p>
    <w:p w:rsidR="002C1C73" w:rsidRPr="00D87D7B" w:rsidRDefault="002C1C73" w:rsidP="002C1C73">
      <w:pPr>
        <w:spacing w:line="360" w:lineRule="auto"/>
        <w:ind w:left="709"/>
        <w:jc w:val="both"/>
        <w:rPr>
          <w:rFonts w:ascii="Times New Roman" w:eastAsia="Calibri" w:hAnsi="Times New Roman" w:cs="Times New Roman"/>
          <w:bCs/>
          <w:lang w:val="fr-FR"/>
        </w:rPr>
      </w:pPr>
      <w:r w:rsidRPr="00D87D7B">
        <w:rPr>
          <w:rFonts w:ascii="Times New Roman" w:eastAsia="Calibri" w:hAnsi="Times New Roman" w:cs="Times New Roman"/>
          <w:bCs/>
          <w:i/>
          <w:lang w:val="fr-FR"/>
        </w:rPr>
        <w:t xml:space="preserve">Tableau I : </w:t>
      </w:r>
      <w:r w:rsidRPr="00D87D7B">
        <w:rPr>
          <w:rFonts w:ascii="Times New Roman" w:eastAsia="Times New Roman" w:hAnsi="Times New Roman" w:cs="Times New Roman"/>
          <w:i/>
          <w:lang w:val="fr-FR" w:eastAsia="fr-FR"/>
        </w:rPr>
        <w:t>Facteurs de conversion pour déterminer la Dose Humaine Équivalente (DHE</w:t>
      </w:r>
      <w:r w:rsidRPr="00D87D7B">
        <w:rPr>
          <w:rFonts w:ascii="Times New Roman" w:eastAsia="Times New Roman" w:hAnsi="Times New Roman" w:cs="Times New Roman"/>
          <w:lang w:val="fr-FR" w:eastAsia="fr-FR"/>
        </w:rPr>
        <w:t>)</w:t>
      </w:r>
      <w:r w:rsidRPr="00D87D7B">
        <w:rPr>
          <w:rFonts w:ascii="Times New Roman" w:eastAsia="Times New Roman" w:hAnsi="Times New Roman" w:cs="Times New Roman"/>
          <w:lang w:val="fr-FR" w:eastAsia="fr-FR"/>
        </w:rPr>
        <w:fldChar w:fldCharType="begin"/>
      </w:r>
      <w:r w:rsidRPr="00D87D7B">
        <w:rPr>
          <w:rFonts w:ascii="Times New Roman" w:eastAsia="Times New Roman" w:hAnsi="Times New Roman" w:cs="Times New Roman"/>
          <w:lang w:val="fr-FR" w:eastAsia="fr-FR"/>
        </w:rPr>
        <w:instrText xml:space="preserve"> ADDIN ZOTERO_ITEM CSL_CITATION {"citationID":"Ec9eFPz1","properties":{"formattedCitation":"[6]","plainCitation":"[6]","noteIndex":0},"citationItems":[{"id":13,"uris":["http://zotero.org/users/13638572/items/JU3IERH7"],"itemData":{"id":13,"type":"article-journal","container-title":"Journal of basic and clinical pharmacy","issue":"2","note":"publisher: Wolters Kluwer–Medknow Publications","page":"27","source":"Google Scholar","title":"A simple practice guide for dose conversion between animals and human","volume":"7","author":[{"family":"Nair","given":"Anroop B."},{"family":"Jacob","given":"Shery"}],"issued":{"date-parts":[["2016"]]}}}],"schema":"https://github.com/citation-style-language/schema/raw/master/csl-citation.json"} </w:instrText>
      </w:r>
      <w:r w:rsidRPr="00D87D7B">
        <w:rPr>
          <w:rFonts w:ascii="Times New Roman" w:eastAsia="Times New Roman" w:hAnsi="Times New Roman" w:cs="Times New Roman"/>
          <w:lang w:val="fr-FR" w:eastAsia="fr-FR"/>
        </w:rPr>
        <w:fldChar w:fldCharType="separate"/>
      </w:r>
      <w:r w:rsidRPr="00D87D7B">
        <w:rPr>
          <w:rFonts w:ascii="Times New Roman" w:eastAsia="Calibri" w:hAnsi="Times New Roman" w:cs="Times New Roman"/>
          <w:lang w:val="fr-FR"/>
        </w:rPr>
        <w:t>[6]</w:t>
      </w:r>
      <w:r w:rsidRPr="00D87D7B">
        <w:rPr>
          <w:rFonts w:ascii="Times New Roman" w:eastAsia="Times New Roman" w:hAnsi="Times New Roman" w:cs="Times New Roman"/>
          <w:lang w:val="fr-FR" w:eastAsia="fr-FR"/>
        </w:rPr>
        <w:fldChar w:fldCharType="end"/>
      </w:r>
    </w:p>
    <w:tbl>
      <w:tblPr>
        <w:tblStyle w:val="Grilledutableau"/>
        <w:tblW w:w="8783" w:type="dxa"/>
        <w:tblInd w:w="704" w:type="dxa"/>
        <w:tblLook w:val="04A0" w:firstRow="1" w:lastRow="0" w:firstColumn="1" w:lastColumn="0" w:noHBand="0" w:noVBand="1"/>
      </w:tblPr>
      <w:tblGrid>
        <w:gridCol w:w="2741"/>
        <w:gridCol w:w="3021"/>
        <w:gridCol w:w="3021"/>
      </w:tblGrid>
      <w:tr w:rsidR="002C1C73" w:rsidRPr="002C1C73" w:rsidTr="002C1C73">
        <w:tc>
          <w:tcPr>
            <w:tcW w:w="2741" w:type="dxa"/>
            <w:vAlign w:val="center"/>
          </w:tcPr>
          <w:p w:rsidR="002C1C73" w:rsidRPr="004E7CC3" w:rsidRDefault="002C1C73" w:rsidP="002C1C73">
            <w:pPr>
              <w:spacing w:before="80" w:afterLines="80" w:after="192"/>
              <w:jc w:val="center"/>
              <w:rPr>
                <w:rFonts w:ascii="Times New Roman" w:eastAsia="Calibri" w:hAnsi="Times New Roman" w:cs="Times New Roman"/>
                <w:bCs/>
                <w:sz w:val="20"/>
                <w:szCs w:val="20"/>
              </w:rPr>
            </w:pPr>
            <w:r w:rsidRPr="004E7CC3">
              <w:rPr>
                <w:rFonts w:ascii="Times New Roman" w:eastAsia="Calibri" w:hAnsi="Times New Roman" w:cs="Times New Roman"/>
                <w:bCs/>
                <w:sz w:val="20"/>
                <w:szCs w:val="20"/>
              </w:rPr>
              <w:t>Espèces</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Cs/>
                <w:sz w:val="20"/>
                <w:szCs w:val="20"/>
              </w:rPr>
            </w:pPr>
            <w:r w:rsidRPr="004E7CC3">
              <w:rPr>
                <w:rFonts w:ascii="Times New Roman" w:eastAsia="Calibri" w:hAnsi="Times New Roman" w:cs="Times New Roman"/>
                <w:bCs/>
                <w:sz w:val="20"/>
                <w:szCs w:val="20"/>
              </w:rPr>
              <w:t>DHE (mg/kg) = dose animale divisée par</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Cs/>
                <w:sz w:val="20"/>
                <w:szCs w:val="20"/>
              </w:rPr>
            </w:pPr>
            <w:r w:rsidRPr="004E7CC3">
              <w:rPr>
                <w:rFonts w:ascii="Times New Roman" w:eastAsia="Times New Roman" w:hAnsi="Times New Roman" w:cs="Times New Roman"/>
                <w:bCs/>
                <w:sz w:val="20"/>
                <w:szCs w:val="20"/>
                <w:lang w:eastAsia="fr-FR"/>
              </w:rPr>
              <w:t>DHE (mg/kg) = dose animale multipliée par</w:t>
            </w:r>
          </w:p>
        </w:tc>
      </w:tr>
      <w:tr w:rsidR="002C1C73" w:rsidRPr="00D87D7B" w:rsidTr="002C1C73">
        <w:tc>
          <w:tcPr>
            <w:tcW w:w="2741" w:type="dxa"/>
            <w:vAlign w:val="center"/>
          </w:tcPr>
          <w:p w:rsidR="002C1C73" w:rsidRPr="004E7CC3" w:rsidRDefault="002C1C73" w:rsidP="002C1C73">
            <w:pPr>
              <w:spacing w:before="80" w:afterLines="80" w:after="192"/>
              <w:jc w:val="both"/>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Souris</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12,3</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0,081</w:t>
            </w:r>
          </w:p>
        </w:tc>
      </w:tr>
      <w:tr w:rsidR="002C1C73" w:rsidRPr="00D87D7B" w:rsidTr="002C1C73">
        <w:tc>
          <w:tcPr>
            <w:tcW w:w="2741" w:type="dxa"/>
            <w:vAlign w:val="center"/>
          </w:tcPr>
          <w:p w:rsidR="002C1C73" w:rsidRPr="004E7CC3" w:rsidRDefault="002C1C73" w:rsidP="002C1C73">
            <w:pPr>
              <w:spacing w:before="80" w:afterLines="80" w:after="192"/>
              <w:jc w:val="both"/>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Hamster</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7,4</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0,135</w:t>
            </w:r>
          </w:p>
        </w:tc>
      </w:tr>
      <w:tr w:rsidR="002C1C73" w:rsidRPr="00D87D7B" w:rsidTr="002C1C73">
        <w:tc>
          <w:tcPr>
            <w:tcW w:w="2741" w:type="dxa"/>
            <w:vAlign w:val="center"/>
          </w:tcPr>
          <w:p w:rsidR="002C1C73" w:rsidRPr="004E7CC3" w:rsidRDefault="002C1C73" w:rsidP="002C1C73">
            <w:pPr>
              <w:spacing w:before="80" w:afterLines="80" w:after="192"/>
              <w:jc w:val="both"/>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Rat</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6,2</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0,162</w:t>
            </w:r>
          </w:p>
        </w:tc>
      </w:tr>
      <w:tr w:rsidR="002C1C73" w:rsidRPr="00D87D7B" w:rsidTr="002C1C73">
        <w:tc>
          <w:tcPr>
            <w:tcW w:w="2741" w:type="dxa"/>
            <w:vAlign w:val="center"/>
          </w:tcPr>
          <w:p w:rsidR="002C1C73" w:rsidRPr="004E7CC3" w:rsidRDefault="002C1C73" w:rsidP="002C1C73">
            <w:pPr>
              <w:spacing w:before="80" w:afterLines="80" w:after="192"/>
              <w:jc w:val="both"/>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Lapin</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4,6</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0,216</w:t>
            </w:r>
          </w:p>
        </w:tc>
      </w:tr>
      <w:tr w:rsidR="002C1C73" w:rsidRPr="00D87D7B" w:rsidTr="002C1C73">
        <w:tc>
          <w:tcPr>
            <w:tcW w:w="2741" w:type="dxa"/>
            <w:vAlign w:val="center"/>
          </w:tcPr>
          <w:p w:rsidR="002C1C73" w:rsidRPr="004E7CC3" w:rsidRDefault="002C1C73" w:rsidP="002C1C73">
            <w:pPr>
              <w:spacing w:before="80" w:afterLines="80" w:after="192"/>
              <w:jc w:val="both"/>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Cochon d'Inde</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3,1</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0,324</w:t>
            </w:r>
          </w:p>
        </w:tc>
      </w:tr>
      <w:tr w:rsidR="002C1C73" w:rsidRPr="00D87D7B" w:rsidTr="002C1C73">
        <w:tc>
          <w:tcPr>
            <w:tcW w:w="2741" w:type="dxa"/>
            <w:vAlign w:val="center"/>
          </w:tcPr>
          <w:p w:rsidR="002C1C73" w:rsidRPr="004E7CC3" w:rsidRDefault="002C1C73" w:rsidP="002C1C73">
            <w:pPr>
              <w:spacing w:before="80" w:afterLines="80" w:after="192"/>
              <w:jc w:val="both"/>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lastRenderedPageBreak/>
              <w:t>Chien</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1,8</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0,541</w:t>
            </w:r>
          </w:p>
        </w:tc>
      </w:tr>
      <w:tr w:rsidR="002C1C73" w:rsidRPr="00D87D7B" w:rsidTr="002C1C73">
        <w:tc>
          <w:tcPr>
            <w:tcW w:w="2741" w:type="dxa"/>
            <w:vAlign w:val="center"/>
          </w:tcPr>
          <w:p w:rsidR="002C1C73" w:rsidRPr="004E7CC3" w:rsidRDefault="002C1C73" w:rsidP="002C1C73">
            <w:pPr>
              <w:spacing w:before="80" w:afterLines="80" w:after="192"/>
              <w:jc w:val="both"/>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Marmouset</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6,2</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0,162</w:t>
            </w:r>
          </w:p>
        </w:tc>
      </w:tr>
      <w:tr w:rsidR="002C1C73" w:rsidRPr="00D87D7B" w:rsidTr="002C1C73">
        <w:tc>
          <w:tcPr>
            <w:tcW w:w="2741" w:type="dxa"/>
            <w:vAlign w:val="center"/>
          </w:tcPr>
          <w:p w:rsidR="002C1C73" w:rsidRPr="004E7CC3" w:rsidRDefault="002C1C73" w:rsidP="002C1C73">
            <w:pPr>
              <w:spacing w:before="80" w:afterLines="80" w:after="192"/>
              <w:jc w:val="both"/>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Babouin</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1,8</w:t>
            </w:r>
          </w:p>
        </w:tc>
        <w:tc>
          <w:tcPr>
            <w:tcW w:w="3021" w:type="dxa"/>
            <w:vAlign w:val="center"/>
          </w:tcPr>
          <w:p w:rsidR="002C1C73" w:rsidRPr="004E7CC3" w:rsidRDefault="002C1C73" w:rsidP="002C1C73">
            <w:pPr>
              <w:spacing w:before="80" w:afterLines="80" w:after="192"/>
              <w:jc w:val="center"/>
              <w:rPr>
                <w:rFonts w:ascii="Times New Roman" w:eastAsia="Calibri" w:hAnsi="Times New Roman" w:cs="Times New Roman"/>
                <w:b/>
                <w:bCs/>
                <w:sz w:val="20"/>
                <w:szCs w:val="20"/>
              </w:rPr>
            </w:pPr>
            <w:r w:rsidRPr="004E7CC3">
              <w:rPr>
                <w:rFonts w:ascii="Times New Roman" w:eastAsia="Times New Roman" w:hAnsi="Times New Roman" w:cs="Times New Roman"/>
                <w:sz w:val="20"/>
                <w:szCs w:val="20"/>
                <w:lang w:eastAsia="fr-FR"/>
              </w:rPr>
              <w:t>0,541</w:t>
            </w:r>
          </w:p>
        </w:tc>
      </w:tr>
    </w:tbl>
    <w:p w:rsidR="002C1C73" w:rsidRPr="00D87D7B" w:rsidRDefault="002C1C73" w:rsidP="002C1C73">
      <w:pPr>
        <w:jc w:val="both"/>
        <w:rPr>
          <w:rFonts w:ascii="Times New Roman" w:eastAsia="Calibri" w:hAnsi="Times New Roman" w:cs="Times New Roman"/>
          <w:b/>
          <w:bCs/>
          <w:sz w:val="24"/>
          <w:szCs w:val="24"/>
          <w:lang w:val="fr-FR"/>
        </w:rPr>
      </w:pPr>
    </w:p>
    <w:p w:rsidR="002C1C73" w:rsidRPr="004E7CC3" w:rsidRDefault="002C1C73" w:rsidP="002C1C73">
      <w:pPr>
        <w:spacing w:line="360" w:lineRule="auto"/>
        <w:ind w:left="720"/>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bCs/>
          <w:sz w:val="20"/>
          <w:szCs w:val="20"/>
          <w:lang w:val="fr-FR"/>
        </w:rPr>
        <w:t>Préparation des poudres</w:t>
      </w:r>
      <w:r w:rsidRPr="004E7CC3">
        <w:rPr>
          <w:rFonts w:ascii="Times New Roman" w:eastAsia="Calibri" w:hAnsi="Times New Roman" w:cs="Times New Roman"/>
          <w:b/>
          <w:bCs/>
          <w:sz w:val="20"/>
          <w:szCs w:val="20"/>
          <w:lang w:val="fr-FR"/>
        </w:rPr>
        <w:t>.</w:t>
      </w:r>
    </w:p>
    <w:p w:rsidR="002C1C73" w:rsidRPr="004E7CC3" w:rsidRDefault="002C1C73" w:rsidP="002C1C73">
      <w:pPr>
        <w:spacing w:line="360" w:lineRule="auto"/>
        <w:ind w:left="720"/>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 xml:space="preserve"> </w:t>
      </w:r>
      <w:r w:rsidRPr="004E7CC3">
        <w:rPr>
          <w:rFonts w:ascii="Times New Roman" w:eastAsia="Calibri" w:hAnsi="Times New Roman" w:cs="Times New Roman"/>
          <w:sz w:val="20"/>
          <w:szCs w:val="20"/>
          <w:lang w:val="fr-FR"/>
        </w:rPr>
        <w:tab/>
        <w:t>Bien que sèche, la poudre brute contrairement à l’extrait était légèrement hygroscopique d’où la nécessité de la stabiliser. Pour cela, il a fallu la triturer avec de la silice colloïdale anhydre (</w:t>
      </w:r>
      <w:proofErr w:type="spellStart"/>
      <w:r w:rsidRPr="004E7CC3">
        <w:rPr>
          <w:rFonts w:ascii="Times New Roman" w:eastAsia="Calibri" w:hAnsi="Times New Roman" w:cs="Times New Roman"/>
          <w:sz w:val="20"/>
          <w:szCs w:val="20"/>
          <w:lang w:val="fr-FR"/>
        </w:rPr>
        <w:t>Aerosil</w:t>
      </w:r>
      <w:proofErr w:type="spellEnd"/>
      <w:r w:rsidRPr="004E7CC3">
        <w:rPr>
          <w:rFonts w:ascii="Times New Roman" w:eastAsia="Calibri" w:hAnsi="Times New Roman" w:cs="Times New Roman"/>
          <w:sz w:val="20"/>
          <w:szCs w:val="20"/>
          <w:lang w:val="fr-FR"/>
        </w:rPr>
        <w:t xml:space="preserve"> 300) et de la cellulose microcristalline (</w:t>
      </w:r>
      <w:proofErr w:type="spellStart"/>
      <w:r w:rsidRPr="004E7CC3">
        <w:rPr>
          <w:rFonts w:ascii="Times New Roman" w:eastAsia="Calibri" w:hAnsi="Times New Roman" w:cs="Times New Roman"/>
          <w:sz w:val="20"/>
          <w:szCs w:val="20"/>
          <w:lang w:val="fr-FR"/>
        </w:rPr>
        <w:t>Avicel</w:t>
      </w:r>
      <w:proofErr w:type="spellEnd"/>
      <w:r w:rsidRPr="004E7CC3">
        <w:rPr>
          <w:rFonts w:ascii="Times New Roman" w:eastAsia="Calibri" w:hAnsi="Times New Roman" w:cs="Times New Roman"/>
          <w:sz w:val="20"/>
          <w:szCs w:val="20"/>
          <w:lang w:val="fr-FR"/>
        </w:rPr>
        <w:t xml:space="preserve"> PH 101) en différentes proportions. </w:t>
      </w:r>
    </w:p>
    <w:p w:rsidR="002C1C73" w:rsidRPr="004E7CC3" w:rsidRDefault="002C1C73" w:rsidP="002C1C73">
      <w:pPr>
        <w:spacing w:line="360" w:lineRule="auto"/>
        <w:ind w:left="720" w:firstLine="696"/>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L'écoulement a été évalué en utilisant la méthode du cône normalisé</w:t>
      </w:r>
      <w:r w:rsidRPr="004E7CC3">
        <w:rPr>
          <w:rFonts w:ascii="Times New Roman" w:eastAsia="Calibri" w:hAnsi="Times New Roman" w:cs="Times New Roman"/>
          <w:sz w:val="20"/>
          <w:szCs w:val="20"/>
          <w:lang w:val="fr-FR"/>
        </w:rPr>
        <w:fldChar w:fldCharType="begin"/>
      </w:r>
      <w:r w:rsidRPr="004E7CC3">
        <w:rPr>
          <w:rFonts w:ascii="Times New Roman" w:eastAsia="Calibri" w:hAnsi="Times New Roman" w:cs="Times New Roman"/>
          <w:sz w:val="20"/>
          <w:szCs w:val="20"/>
          <w:lang w:val="fr-FR"/>
        </w:rPr>
        <w:instrText xml:space="preserve"> ADDIN ZOTERO_ITEM CSL_CITATION {"citationID":"ekbeYlfi","properties":{"formattedCitation":"[7\\uc0\\u8211{}9]","plainCitation":"[7–9]","noteIndex":0},"citationItems":[{"id":20,"uris":["http://zotero.org/users/13638572/items/MACG7N8K"],"itemData":{"id":20,"type":"webpage","title":"The 9th Edition European Pharmacopoeia: Maintaining high quality standards in a dynamic global environment - Portal","URL":"https://www.coe.int/en/web/portal/-/the-9th-edition-european-pharmacopoeia-maintaining-high-quality-standards-in-a-dynamic-global-environment","accessed":{"date-parts":[["2023",11,30]]}}},{"id":125,"uris":["http://zotero.org/users/13638572/items/TYB3FP2J"],"itemData":{"id":125,"type":"article-journal","abstract":"Malaria is a parasitic disease that is widely spread throughout the world. The annual number of cases is estimated at around 500 million; the African continent is the most affected, accounting for 95% of cases. For the treatment, WHO recommends artemisinin-based combinations; unfortunately, the cost of these combinations is relatively high, making them difficult to afford. This justifies the search for new antimalarial drugs. A large number of plant species in Cameroon have been identified as anti-malarial medicinal plants. Picralima nitida is one of the plants traditionally used to treat malaria in traditional medicine, and its in vitro and in vivo antimalarial activity and toxicological profile have already been scientifically demonstrated. The aim of the present study was to formulate capsules based on the aqueous extract of Picralima nitida fruit, in an attempt to rationalize its use in the treatment of malaria. The aqueous extract of Picralima nitida fruit was prepared by maceration and then stabilized; its physicochemical characteristics were determined. The daily quantity of extract required for the treatment of malaria was determined in milligrams of total alkaloids. Finally, the extract was stabilized before being filled into capsules using European pharmacopoeia techniques. The capsules were also tested according to European Pharmacopoeia 11th edition techniques. The extract was obtained in 6.25% yield. The extract was soft, hygroscopic, brown in color, very bitter in flavor and caramel in odor. The following phytochemical groups were present in the extract: alkaloids, phenolic compounds, flavonoid tannins, anthocyanins, saponins, terpenes, sterols. Total alkaloid content was 0.11g per gram of extract. To stabilize the extract and make it suitable for capsule filling, 25% colloidal silica and 13% microcrystalline cellulose were added. The stabilized extract showed good flowability (flow time 6s, Carr index 11.8% and Hausner index 1.13), a moderately fine powder texture (d50 &lt; 300um) and homogeneous distribution. The daily dose determined for a 60 kg adult was 3900mg of extract, corresponding to 313 mg of total alkaloids, which could be divided into 8 N°0 or 12 N°00 capsules. On inspection, the capsules were found to comply with the requirements of the 11th edition of the European Pharmacopoeia. The characteristics of the formulated capsules are favorable to make them a good candidate for the various phases of clinical trials with a view to making them an improved traditional medicine (ITM)","container-title":"International Journal of Biological and Pharmaceutical Sciences Archive","DOI":"10.53771/ijbpsa.2023.6.1.0086","ISSN":"0799-6616","issue":"1","language":"en","license":"CC BY-NC-SA 4.0 DEED Attribution-NonCommercial-ShareAlike 4.0 International","note":"publisher: Scientific Research Archives\nsection: Articles","page":"059-067","source":"ijbpsa.com","title":"Formulation of anti-malaria capsules based on the fruit of Picralima nitida (Stapf) T. Durand and H. Durand (Apocynaceae","volume":"6","author":[{"family":"Jatsa","given":"Mike"},{"family":"Kanmogne","given":"Carole"},{"family":"Djoko","given":"Ernest"},{"family":"Yimta","given":"Wandji"},{"family":"Wouessidjewe","given":"Denis"}],"issued":{"date-parts":[["2023"]]}}},{"id":154,"uris":["http://zotero.org/users/13638572/items/JUYQNVH9"],"itemData":{"id":154,"type":"article-journal","abstract":"RÉSUMÉIntroduction. Depuis quelques années, les Combinaisons Thérapeutiques à base d’Artémisinine (CTA) sont l’objet de nombreux cas de résistances thérapeutiques. Par ailleurs, plusieurs études ont démontré l’efficacité d’Artemisia annua (Asteraceae) sur les formes résistantes de Plasmodium. Ce travail a donc pour objectif de mettre au point des gélules à base de la poudre de feuilles et de tiges d’A. annua afin d’améliorer la prise en charge du paludisme en Afrique. Méthodes. Cette étude a consisté à caractériser la poudre et les granulés d’A. annua, obtenus par granulation humide par ajout de l’empois d’amidon de maïs. Puis des gélules dosées à 125 mg d’A. annua, ont été formulées et contrôlées selon la pharmacopée européenne 9e éd. Résultats. L’analyse granulométrique de la poudre a donné un diamètre médian (d50) inferieur à 50 µm et 600 µm pour les granulés. Les gélules obtenues, ont une répartition uniforme de la masse (125,7 mg). Le temps de désagrégation des gélules est de 3,5 ± 1,4 mn. Les teneurs en flavonoïdes totaux de la poudre et des gélules sont de 8,8  ± 1,2 mg et 1,6  ± 0,1 mg équivalent de quercétine. Conclusion. Ce travail a permis de mettre au point des gélules à base de feuilles et de tiges d’A. annua conformes à la Pharmacopée européenne 9e éd.ABSTRACTIntroduction. In recent years, Artemisinin-based Therapeutic Combinations (CTAs) was the subject of numerous cases of therapeutic resistance. In addition, several studies have demonstrated the efficacy of Artemisia annua (Asteraceae) on the resistant forms of Plasmodium. This work therefore aims to develop capsules based on the powder of leaves and stems of A. annua to improve the management of malaria in Africa. Methods. This study consisted in characterizing the powder and granules of A. annua, obtained by wet granulation by adding corn starch paste. Then capsules containing 125 mg of A. annua, have been formulated and controlled according to the European Pharmacopoeia 9th Ed. Results. The particle size analysis of the powder gave a median diameter (d50) of less than 50 µm and 600 µm for the granules. The capsules obtained have a uniform distribution of mass (125.7 mg). The disintegration time of the capsules is 3.5 ± 1.4 min. The total flavonoid contents of the powder and capsules are 8.8 ± 1.2 mg and 1.6 ± 0.1 mg equivalent of quercétine. Conclusion. This work made it possible to develop capsules based on leaves and stems of A. annua conform to the European Pharmacopoeia 9th Ed.","container-title":"HEALTH SCIENCES AND DISEASE","DOI":"10.5281/hsd.v21i4.1804","ISSN":"2309-6535","issue":"4","language":"fr","license":"Copyright (c)","note":"number: 4","source":"www.hsd-fmsb.org","title":"Formulation de Gélules à Base de Feuilles et de Tiges d’Artemisia Annua","URL":"http://www.hsd-fmsb.org/index.php/hsd/article/view/1804","volume":"21","author":[{"family":"Chougouo-Nkuitchou","given":"Rosine D. K."},{"family":"N'guessan","given":"Alain"},{"family":"Nkamenjo","given":"Cécile"},{"family":"Djoko","given":"Ernest"},{"family":"Kouamouo","given":"Jonas"},{"family":"Tane","given":"Pierre"},{"family":"Koffi","given":"Armand A."},{"family":"Wouessidjewe","given":"Denis"}],"accessed":{"date-parts":[["2024",5,7]]},"issued":{"date-parts":[["2020",3,21]]}}}],"schema":"https://github.com/citation-style-language/schema/raw/master/csl-citation.json"} </w:instrText>
      </w:r>
      <w:r w:rsidRPr="004E7CC3">
        <w:rPr>
          <w:rFonts w:ascii="Times New Roman" w:eastAsia="Calibri" w:hAnsi="Times New Roman" w:cs="Times New Roman"/>
          <w:sz w:val="20"/>
          <w:szCs w:val="20"/>
          <w:lang w:val="fr-FR"/>
        </w:rPr>
        <w:fldChar w:fldCharType="separate"/>
      </w:r>
      <w:r w:rsidRPr="004E7CC3">
        <w:rPr>
          <w:rFonts w:ascii="Times New Roman" w:eastAsia="Calibri" w:hAnsi="Times New Roman" w:cs="Times New Roman"/>
          <w:sz w:val="20"/>
          <w:szCs w:val="20"/>
          <w:lang w:val="fr-FR"/>
        </w:rPr>
        <w:t>[7–9]</w:t>
      </w:r>
      <w:r w:rsidRPr="004E7CC3">
        <w:rPr>
          <w:rFonts w:ascii="Times New Roman" w:eastAsia="Calibri" w:hAnsi="Times New Roman" w:cs="Times New Roman"/>
          <w:sz w:val="20"/>
          <w:szCs w:val="20"/>
          <w:lang w:val="fr-FR"/>
        </w:rPr>
        <w:fldChar w:fldCharType="end"/>
      </w:r>
      <w:r w:rsidRPr="004E7CC3">
        <w:rPr>
          <w:rFonts w:ascii="Times New Roman" w:eastAsia="Calibri" w:hAnsi="Times New Roman" w:cs="Times New Roman"/>
          <w:sz w:val="20"/>
          <w:szCs w:val="20"/>
          <w:lang w:val="fr-FR"/>
        </w:rPr>
        <w:t>. La Pharmacopée Européenne 9</w:t>
      </w:r>
      <w:r w:rsidRPr="004E7CC3">
        <w:rPr>
          <w:rFonts w:ascii="Times New Roman" w:eastAsia="Calibri" w:hAnsi="Times New Roman" w:cs="Times New Roman"/>
          <w:sz w:val="20"/>
          <w:szCs w:val="20"/>
          <w:vertAlign w:val="superscript"/>
          <w:lang w:val="fr-FR"/>
        </w:rPr>
        <w:t>e</w:t>
      </w:r>
      <w:r w:rsidRPr="004E7CC3">
        <w:rPr>
          <w:rFonts w:ascii="Times New Roman" w:eastAsia="Calibri" w:hAnsi="Times New Roman" w:cs="Times New Roman"/>
          <w:sz w:val="20"/>
          <w:szCs w:val="20"/>
          <w:lang w:val="fr-FR"/>
        </w:rPr>
        <w:t xml:space="preserve"> édition exige que 100 g s'écoulent en moins de 10 secondes. Le temps d'écoulement pris en compte était la moyenne de 3 essais. </w:t>
      </w:r>
    </w:p>
    <w:p w:rsidR="002C1C73" w:rsidRPr="004E7CC3" w:rsidRDefault="002C1C73" w:rsidP="002C1C73">
      <w:pPr>
        <w:spacing w:line="360" w:lineRule="auto"/>
        <w:ind w:left="720" w:firstLine="696"/>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L’aptitude au tassemen</w:t>
      </w:r>
      <w:r w:rsidR="004E7CC3">
        <w:rPr>
          <w:rFonts w:ascii="Times New Roman" w:eastAsia="Calibri" w:hAnsi="Times New Roman" w:cs="Times New Roman"/>
          <w:sz w:val="20"/>
          <w:szCs w:val="20"/>
          <w:lang w:val="fr-FR"/>
        </w:rPr>
        <w:t xml:space="preserve">t a été déterminée sur le </w:t>
      </w:r>
      <w:proofErr w:type="spellStart"/>
      <w:r w:rsidR="004E7CC3">
        <w:rPr>
          <w:rFonts w:ascii="Times New Roman" w:eastAsia="Calibri" w:hAnsi="Times New Roman" w:cs="Times New Roman"/>
          <w:sz w:val="20"/>
          <w:szCs w:val="20"/>
          <w:lang w:val="fr-FR"/>
        </w:rPr>
        <w:t>volumé</w:t>
      </w:r>
      <w:r w:rsidRPr="004E7CC3">
        <w:rPr>
          <w:rFonts w:ascii="Times New Roman" w:eastAsia="Calibri" w:hAnsi="Times New Roman" w:cs="Times New Roman"/>
          <w:sz w:val="20"/>
          <w:szCs w:val="20"/>
          <w:lang w:val="fr-FR"/>
        </w:rPr>
        <w:t>nomètre</w:t>
      </w:r>
      <w:proofErr w:type="spellEnd"/>
      <w:r w:rsidRPr="004E7CC3">
        <w:rPr>
          <w:rFonts w:ascii="Times New Roman" w:eastAsia="Calibri" w:hAnsi="Times New Roman" w:cs="Times New Roman"/>
          <w:sz w:val="20"/>
          <w:szCs w:val="20"/>
          <w:lang w:val="fr-FR"/>
        </w:rPr>
        <w:t xml:space="preserve"> : 100 g de poudre ont été introduits sans tassement dans une éprouvette graduée </w:t>
      </w:r>
      <w:r w:rsidRPr="004E7CC3">
        <w:rPr>
          <w:rFonts w:ascii="Times New Roman" w:eastAsia="Calibri" w:hAnsi="Times New Roman" w:cs="Times New Roman"/>
          <w:sz w:val="20"/>
          <w:szCs w:val="20"/>
          <w:lang w:val="fr-FR"/>
        </w:rPr>
        <w:fldChar w:fldCharType="begin"/>
      </w:r>
      <w:r w:rsidRPr="004E7CC3">
        <w:rPr>
          <w:rFonts w:ascii="Times New Roman" w:eastAsia="Calibri" w:hAnsi="Times New Roman" w:cs="Times New Roman"/>
          <w:sz w:val="20"/>
          <w:szCs w:val="20"/>
          <w:lang w:val="fr-FR"/>
        </w:rPr>
        <w:instrText xml:space="preserve"> ADDIN ZOTERO_ITEM CSL_CITATION {"citationID":"Ppw9GagO","properties":{"formattedCitation":"[8,9]","plainCitation":"[8,9]","noteIndex":0},"citationItems":[{"id":125,"uris":["http://zotero.org/users/13638572/items/TYB3FP2J"],"itemData":{"id":125,"type":"article-journal","abstract":"Malaria is a parasitic disease that is widely spread throughout the world. The annual number of cases is estimated at around 500 million; the African continent is the most affected, accounting for 95% of cases. For the treatment, WHO recommends artemisinin-based combinations; unfortunately, the cost of these combinations is relatively high, making them difficult to afford. This justifies the search for new antimalarial drugs. A large number of plant species in Cameroon have been identified as anti-malarial medicinal plants. Picralima nitida is one of the plants traditionally used to treat malaria in traditional medicine, and its in vitro and in vivo antimalarial activity and toxicological profile have already been scientifically demonstrated. The aim of the present study was to formulate capsules based on the aqueous extract of Picralima nitida fruit, in an attempt to rationalize its use in the treatment of malaria. The aqueous extract of Picralima nitida fruit was prepared by maceration and then stabilized; its physicochemical characteristics were determined. The daily quantity of extract required for the treatment of malaria was determined in milligrams of total alkaloids. Finally, the extract was stabilized before being filled into capsules using European pharmacopoeia techniques. The capsules were also tested according to European Pharmacopoeia 11th edition techniques. The extract was obtained in 6.25% yield. The extract was soft, hygroscopic, brown in color, very bitter in flavor and caramel in odor. The following phytochemical groups were present in the extract: alkaloids, phenolic compounds, flavonoid tannins, anthocyanins, saponins, terpenes, sterols. Total alkaloid content was 0.11g per gram of extract. To stabilize the extract and make it suitable for capsule filling, 25% colloidal silica and 13% microcrystalline cellulose were added. The stabilized extract showed good flowability (flow time 6s, Carr index 11.8% and Hausner index 1.13), a moderately fine powder texture (d50 &lt; 300um) and homogeneous distribution. The daily dose determined for a 60 kg adult was 3900mg of extract, corresponding to 313 mg of total alkaloids, which could be divided into 8 N°0 or 12 N°00 capsules. On inspection, the capsules were found to comply with the requirements of the 11th edition of the European Pharmacopoeia. The characteristics of the formulated capsules are favorable to make them a good candidate for the various phases of clinical trials with a view to making them an improved traditional medicine (ITM)","container-title":"International Journal of Biological and Pharmaceutical Sciences Archive","DOI":"10.53771/ijbpsa.2023.6.1.0086","ISSN":"0799-6616","issue":"1","language":"en","license":"CC BY-NC-SA 4.0 DEED Attribution-NonCommercial-ShareAlike 4.0 International","note":"publisher: Scientific Research Archives\nsection: Articles","page":"059-067","source":"ijbpsa.com","title":"Formulation of anti-malaria capsules based on the fruit of Picralima nitida (Stapf) T. Durand and H. Durand (Apocynaceae","volume":"6","author":[{"family":"Jatsa","given":"Mike"},{"family":"Kanmogne","given":"Carole"},{"family":"Djoko","given":"Ernest"},{"family":"Yimta","given":"Wandji"},{"family":"Wouessidjewe","given":"Denis"}],"issued":{"date-parts":[["2023"]]}}},{"id":154,"uris":["http://zotero.org/users/13638572/items/JUYQNVH9"],"itemData":{"id":154,"type":"article-journal","abstract":"RÉSUMÉIntroduction. Depuis quelques années, les Combinaisons Thérapeutiques à base d’Artémisinine (CTA) sont l’objet de nombreux cas de résistances thérapeutiques. Par ailleurs, plusieurs études ont démontré l’efficacité d’Artemisia annua (Asteraceae) sur les formes résistantes de Plasmodium. Ce travail a donc pour objectif de mettre au point des gélules à base de la poudre de feuilles et de tiges d’A. annua afin d’améliorer la prise en charge du paludisme en Afrique. Méthodes. Cette étude a consisté à caractériser la poudre et les granulés d’A. annua, obtenus par granulation humide par ajout de l’empois d’amidon de maïs. Puis des gélules dosées à 125 mg d’A. annua, ont été formulées et contrôlées selon la pharmacopée européenne 9e éd. Résultats. L’analyse granulométrique de la poudre a donné un diamètre médian (d50) inferieur à 50 µm et 600 µm pour les granulés. Les gélules obtenues, ont une répartition uniforme de la masse (125,7 mg). Le temps de désagrégation des gélules est de 3,5 ± 1,4 mn. Les teneurs en flavonoïdes totaux de la poudre et des gélules sont de 8,8  ± 1,2 mg et 1,6  ± 0,1 mg équivalent de quercétine. Conclusion. Ce travail a permis de mettre au point des gélules à base de feuilles et de tiges d’A. annua conformes à la Pharmacopée européenne 9e éd.ABSTRACTIntroduction. In recent years, Artemisinin-based Therapeutic Combinations (CTAs) was the subject of numerous cases of therapeutic resistance. In addition, several studies have demonstrated the efficacy of Artemisia annua (Asteraceae) on the resistant forms of Plasmodium. This work therefore aims to develop capsules based on the powder of leaves and stems of A. annua to improve the management of malaria in Africa. Methods. This study consisted in characterizing the powder and granules of A. annua, obtained by wet granulation by adding corn starch paste. Then capsules containing 125 mg of A. annua, have been formulated and controlled according to the European Pharmacopoeia 9th Ed. Results. The particle size analysis of the powder gave a median diameter (d50) of less than 50 µm and 600 µm for the granules. The capsules obtained have a uniform distribution of mass (125.7 mg). The disintegration time of the capsules is 3.5 ± 1.4 min. The total flavonoid contents of the powder and capsules are 8.8 ± 1.2 mg and 1.6 ± 0.1 mg equivalent of quercétine. Conclusion. This work made it possible to develop capsules based on leaves and stems of A. annua conform to the European Pharmacopoeia 9th Ed.","container-title":"HEALTH SCIENCES AND DISEASE","DOI":"10.5281/hsd.v21i4.1804","ISSN":"2309-6535","issue":"4","language":"fr","license":"Copyright (c)","note":"number: 4","source":"www.hsd-fmsb.org","title":"Formulation de Gélules à Base de Feuilles et de Tiges d’Artemisia Annua","URL":"http://www.hsd-fmsb.org/index.php/hsd/article/view/1804","volume":"21","author":[{"family":"Chougouo-Nkuitchou","given":"Rosine D. K."},{"family":"N'guessan","given":"Alain"},{"family":"Nkamenjo","given":"Cécile"},{"family":"Djoko","given":"Ernest"},{"family":"Kouamouo","given":"Jonas"},{"family":"Tane","given":"Pierre"},{"family":"Koffi","given":"Armand A."},{"family":"Wouessidjewe","given":"Denis"}],"accessed":{"date-parts":[["2024",5,7]]},"issued":{"date-parts":[["2020",3,21]]}}}],"schema":"https://github.com/citation-style-language/schema/raw/master/csl-citation.json"} </w:instrText>
      </w:r>
      <w:r w:rsidRPr="004E7CC3">
        <w:rPr>
          <w:rFonts w:ascii="Times New Roman" w:eastAsia="Calibri" w:hAnsi="Times New Roman" w:cs="Times New Roman"/>
          <w:sz w:val="20"/>
          <w:szCs w:val="20"/>
          <w:lang w:val="fr-FR"/>
        </w:rPr>
        <w:fldChar w:fldCharType="separate"/>
      </w:r>
      <w:r w:rsidRPr="004E7CC3">
        <w:rPr>
          <w:rFonts w:ascii="Times New Roman" w:eastAsia="Calibri" w:hAnsi="Times New Roman" w:cs="Times New Roman"/>
          <w:sz w:val="20"/>
          <w:szCs w:val="20"/>
          <w:lang w:val="fr-FR"/>
        </w:rPr>
        <w:t>[8,9]</w:t>
      </w:r>
      <w:r w:rsidRPr="004E7CC3">
        <w:rPr>
          <w:rFonts w:ascii="Times New Roman" w:eastAsia="Calibri" w:hAnsi="Times New Roman" w:cs="Times New Roman"/>
          <w:sz w:val="20"/>
          <w:szCs w:val="20"/>
          <w:lang w:val="fr-FR"/>
        </w:rPr>
        <w:fldChar w:fldCharType="end"/>
      </w:r>
      <w:r w:rsidRPr="004E7CC3">
        <w:rPr>
          <w:rFonts w:ascii="Times New Roman" w:eastAsia="Calibri" w:hAnsi="Times New Roman" w:cs="Times New Roman"/>
          <w:sz w:val="20"/>
          <w:szCs w:val="20"/>
          <w:lang w:val="fr-FR"/>
        </w:rPr>
        <w:t>. Le volume V</w:t>
      </w:r>
      <w:r w:rsidRPr="004E7CC3">
        <w:rPr>
          <w:rFonts w:ascii="Times New Roman" w:eastAsia="Calibri" w:hAnsi="Times New Roman" w:cs="Times New Roman"/>
          <w:b/>
          <w:sz w:val="20"/>
          <w:szCs w:val="20"/>
          <w:vertAlign w:val="subscript"/>
          <w:lang w:val="fr-FR"/>
        </w:rPr>
        <w:t>0</w:t>
      </w:r>
      <w:r w:rsidRPr="004E7CC3">
        <w:rPr>
          <w:rFonts w:ascii="Times New Roman" w:eastAsia="Calibri" w:hAnsi="Times New Roman" w:cs="Times New Roman"/>
          <w:sz w:val="20"/>
          <w:szCs w:val="20"/>
          <w:lang w:val="fr-FR"/>
        </w:rPr>
        <w:t xml:space="preserve"> a été mesuré, suivi des volumes V</w:t>
      </w:r>
      <w:r w:rsidRPr="004E7CC3">
        <w:rPr>
          <w:rFonts w:ascii="Times New Roman" w:eastAsia="Calibri" w:hAnsi="Times New Roman" w:cs="Times New Roman"/>
          <w:b/>
          <w:sz w:val="20"/>
          <w:szCs w:val="20"/>
          <w:vertAlign w:val="subscript"/>
          <w:lang w:val="fr-FR"/>
        </w:rPr>
        <w:t>10</w:t>
      </w:r>
      <w:r w:rsidRPr="004E7CC3">
        <w:rPr>
          <w:rFonts w:ascii="Times New Roman" w:eastAsia="Calibri" w:hAnsi="Times New Roman" w:cs="Times New Roman"/>
          <w:sz w:val="20"/>
          <w:szCs w:val="20"/>
          <w:lang w:val="fr-FR"/>
        </w:rPr>
        <w:t>, V</w:t>
      </w:r>
      <w:r w:rsidRPr="004E7CC3">
        <w:rPr>
          <w:rFonts w:ascii="Times New Roman" w:eastAsia="Calibri" w:hAnsi="Times New Roman" w:cs="Times New Roman"/>
          <w:b/>
          <w:sz w:val="20"/>
          <w:szCs w:val="20"/>
          <w:vertAlign w:val="subscript"/>
          <w:lang w:val="fr-FR"/>
        </w:rPr>
        <w:t>500</w:t>
      </w:r>
      <w:r w:rsidRPr="004E7CC3">
        <w:rPr>
          <w:rFonts w:ascii="Times New Roman" w:eastAsia="Calibri" w:hAnsi="Times New Roman" w:cs="Times New Roman"/>
          <w:sz w:val="20"/>
          <w:szCs w:val="20"/>
          <w:lang w:val="fr-FR"/>
        </w:rPr>
        <w:t xml:space="preserve"> et V</w:t>
      </w:r>
      <w:r w:rsidRPr="004E7CC3">
        <w:rPr>
          <w:rFonts w:ascii="Times New Roman" w:eastAsia="Calibri" w:hAnsi="Times New Roman" w:cs="Times New Roman"/>
          <w:b/>
          <w:sz w:val="20"/>
          <w:szCs w:val="20"/>
          <w:vertAlign w:val="subscript"/>
          <w:lang w:val="fr-FR"/>
        </w:rPr>
        <w:t>1250</w:t>
      </w:r>
      <w:r w:rsidRPr="004E7CC3">
        <w:rPr>
          <w:rFonts w:ascii="Times New Roman" w:eastAsia="Calibri" w:hAnsi="Times New Roman" w:cs="Times New Roman"/>
          <w:sz w:val="20"/>
          <w:szCs w:val="20"/>
          <w:lang w:val="fr-FR"/>
        </w:rPr>
        <w:t xml:space="preserve"> correspondant successivement au volume après 10, 500 et 1250 tassements. Ensuite, l'indice de Carr et l'indice de </w:t>
      </w:r>
      <w:proofErr w:type="spellStart"/>
      <w:r w:rsidRPr="004E7CC3">
        <w:rPr>
          <w:rFonts w:ascii="Times New Roman" w:eastAsia="Calibri" w:hAnsi="Times New Roman" w:cs="Times New Roman"/>
          <w:sz w:val="20"/>
          <w:szCs w:val="20"/>
          <w:lang w:val="fr-FR"/>
        </w:rPr>
        <w:t>Hausner</w:t>
      </w:r>
      <w:proofErr w:type="spellEnd"/>
      <w:r w:rsidRPr="004E7CC3">
        <w:rPr>
          <w:rFonts w:ascii="Times New Roman" w:eastAsia="Calibri" w:hAnsi="Times New Roman" w:cs="Times New Roman"/>
          <w:sz w:val="20"/>
          <w:szCs w:val="20"/>
          <w:lang w:val="fr-FR"/>
        </w:rPr>
        <w:t xml:space="preserve"> ont été déterminés par les formules :</w:t>
      </w:r>
    </w:p>
    <w:p w:rsidR="002C1C73" w:rsidRPr="004E7CC3" w:rsidRDefault="002C1C73" w:rsidP="002C1C73">
      <w:pPr>
        <w:spacing w:line="360" w:lineRule="auto"/>
        <w:contextualSpacing/>
        <w:jc w:val="both"/>
        <w:rPr>
          <w:rFonts w:ascii="Times New Roman" w:eastAsia="Calibri" w:hAnsi="Times New Roman" w:cs="Times New Roman"/>
          <w:sz w:val="20"/>
          <w:szCs w:val="20"/>
          <w:lang w:val="fr-FR"/>
        </w:rPr>
      </w:pPr>
      <m:oMathPara>
        <m:oMath>
          <m:r>
            <w:rPr>
              <w:rFonts w:ascii="Cambria Math" w:eastAsia="Calibri" w:hAnsi="Cambria Math" w:cs="Cambria Math"/>
              <w:sz w:val="20"/>
              <w:szCs w:val="20"/>
              <w:lang w:val="fr-FR"/>
            </w:rPr>
            <m:t xml:space="preserve">Indice de Carr=100 × </m:t>
          </m:r>
          <m:f>
            <m:fPr>
              <m:ctrlPr>
                <w:rPr>
                  <w:rFonts w:ascii="Cambria Math" w:eastAsia="Calibri" w:hAnsi="Cambria Math" w:cs="Times New Roman"/>
                  <w:sz w:val="20"/>
                  <w:szCs w:val="20"/>
                  <w:lang w:val="fr-FR"/>
                </w:rPr>
              </m:ctrlPr>
            </m:fPr>
            <m:num>
              <m:r>
                <w:rPr>
                  <w:rFonts w:ascii="Cambria Math" w:eastAsia="Calibri" w:hAnsi="Cambria Math" w:cs="Cambria Math"/>
                  <w:sz w:val="20"/>
                  <w:szCs w:val="20"/>
                  <w:lang w:val="fr-FR"/>
                </w:rPr>
                <m:t>(</m:t>
              </m:r>
              <m:sSub>
                <m:sSubPr>
                  <m:ctrlPr>
                    <w:rPr>
                      <w:rFonts w:ascii="Cambria Math" w:eastAsia="Calibri" w:hAnsi="Cambria Math" w:cs="Cambria Math"/>
                      <w:i/>
                      <w:sz w:val="20"/>
                      <w:szCs w:val="20"/>
                      <w:lang w:val="fr-FR"/>
                    </w:rPr>
                  </m:ctrlPr>
                </m:sSubPr>
                <m:e>
                  <m:r>
                    <w:rPr>
                      <w:rFonts w:ascii="Cambria Math" w:eastAsia="Calibri" w:hAnsi="Cambria Math" w:cs="Cambria Math"/>
                      <w:sz w:val="20"/>
                      <w:szCs w:val="20"/>
                      <w:lang w:val="fr-FR"/>
                    </w:rPr>
                    <m:t>V</m:t>
                  </m:r>
                </m:e>
                <m:sub>
                  <m:r>
                    <w:rPr>
                      <w:rFonts w:ascii="Cambria Math" w:eastAsia="Calibri" w:hAnsi="Cambria Math" w:cs="Cambria Math"/>
                      <w:sz w:val="20"/>
                      <w:szCs w:val="20"/>
                      <w:lang w:val="fr-FR"/>
                    </w:rPr>
                    <m:t>0</m:t>
                  </m:r>
                </m:sub>
              </m:sSub>
              <m:r>
                <w:rPr>
                  <w:rFonts w:ascii="Cambria Math" w:eastAsia="Calibri" w:hAnsi="Cambria Math" w:cs="Cambria Math"/>
                  <w:sz w:val="20"/>
                  <w:szCs w:val="20"/>
                  <w:lang w:val="fr-FR"/>
                </w:rPr>
                <m:t>-</m:t>
              </m:r>
              <m:sSub>
                <m:sSubPr>
                  <m:ctrlPr>
                    <w:rPr>
                      <w:rFonts w:ascii="Cambria Math" w:eastAsia="Calibri" w:hAnsi="Cambria Math" w:cs="Cambria Math"/>
                      <w:i/>
                      <w:sz w:val="20"/>
                      <w:szCs w:val="20"/>
                      <w:lang w:val="fr-FR"/>
                    </w:rPr>
                  </m:ctrlPr>
                </m:sSubPr>
                <m:e>
                  <m:r>
                    <w:rPr>
                      <w:rFonts w:ascii="Cambria Math" w:eastAsia="Calibri" w:hAnsi="Cambria Math" w:cs="Cambria Math"/>
                      <w:sz w:val="20"/>
                      <w:szCs w:val="20"/>
                      <w:lang w:val="fr-FR"/>
                    </w:rPr>
                    <m:t>V</m:t>
                  </m:r>
                </m:e>
                <m:sub>
                  <m:r>
                    <w:rPr>
                      <w:rFonts w:ascii="Cambria Math" w:eastAsia="Calibri" w:hAnsi="Cambria Math" w:cs="Cambria Math"/>
                      <w:sz w:val="20"/>
                      <w:szCs w:val="20"/>
                      <w:lang w:val="fr-FR"/>
                    </w:rPr>
                    <m:t>1250</m:t>
                  </m:r>
                </m:sub>
              </m:sSub>
              <m:r>
                <w:rPr>
                  <w:rFonts w:ascii="Cambria Math" w:eastAsia="Calibri" w:hAnsi="Cambria Math" w:cs="Cambria Math"/>
                  <w:sz w:val="20"/>
                  <w:szCs w:val="20"/>
                  <w:lang w:val="fr-FR"/>
                </w:rPr>
                <m:t>)</m:t>
              </m:r>
            </m:num>
            <m:den>
              <m:sSub>
                <m:sSubPr>
                  <m:ctrlPr>
                    <w:rPr>
                      <w:rFonts w:ascii="Cambria Math" w:eastAsia="Calibri" w:hAnsi="Cambria Math" w:cs="Cambria Math"/>
                      <w:i/>
                      <w:sz w:val="20"/>
                      <w:szCs w:val="20"/>
                      <w:lang w:val="fr-FR"/>
                    </w:rPr>
                  </m:ctrlPr>
                </m:sSubPr>
                <m:e>
                  <m:r>
                    <w:rPr>
                      <w:rFonts w:ascii="Cambria Math" w:eastAsia="Calibri" w:hAnsi="Cambria Math" w:cs="Cambria Math"/>
                      <w:sz w:val="20"/>
                      <w:szCs w:val="20"/>
                      <w:lang w:val="fr-FR"/>
                    </w:rPr>
                    <m:t>V</m:t>
                  </m:r>
                </m:e>
                <m:sub>
                  <m:r>
                    <w:rPr>
                      <w:rFonts w:ascii="Cambria Math" w:eastAsia="Calibri" w:hAnsi="Cambria Math" w:cs="Cambria Math"/>
                      <w:sz w:val="20"/>
                      <w:szCs w:val="20"/>
                      <w:lang w:val="fr-FR"/>
                    </w:rPr>
                    <m:t>0</m:t>
                  </m:r>
                </m:sub>
              </m:sSub>
            </m:den>
          </m:f>
        </m:oMath>
      </m:oMathPara>
    </w:p>
    <w:p w:rsidR="002C1C73" w:rsidRPr="004E7CC3" w:rsidRDefault="002C1C73" w:rsidP="002C1C73">
      <w:pPr>
        <w:ind w:left="720"/>
        <w:contextualSpacing/>
        <w:jc w:val="both"/>
        <w:rPr>
          <w:rFonts w:ascii="Times New Roman" w:eastAsia="Calibri" w:hAnsi="Times New Roman" w:cs="Times New Roman"/>
          <w:bCs/>
          <w:sz w:val="20"/>
          <w:szCs w:val="20"/>
          <w:lang w:val="fr-FR"/>
        </w:rPr>
      </w:pPr>
      <m:oMathPara>
        <m:oMath>
          <m:r>
            <w:rPr>
              <w:rFonts w:ascii="Cambria Math" w:eastAsia="Calibri" w:hAnsi="Cambria Math" w:cs="Times New Roman"/>
              <w:sz w:val="20"/>
              <w:szCs w:val="20"/>
              <w:lang w:val="fr-FR"/>
            </w:rPr>
            <m:t xml:space="preserve">Indice de Hausner= </m:t>
          </m:r>
          <m:f>
            <m:fPr>
              <m:ctrlPr>
                <w:rPr>
                  <w:rFonts w:ascii="Cambria Math" w:eastAsia="Calibri" w:hAnsi="Cambria Math" w:cs="Times New Roman"/>
                  <w:bCs/>
                  <w:i/>
                  <w:sz w:val="20"/>
                  <w:szCs w:val="20"/>
                  <w:lang w:val="fr-FR"/>
                </w:rPr>
              </m:ctrlPr>
            </m:fPr>
            <m:num>
              <m:sSub>
                <m:sSubPr>
                  <m:ctrlPr>
                    <w:rPr>
                      <w:rFonts w:ascii="Cambria Math" w:eastAsia="Calibri" w:hAnsi="Cambria Math" w:cs="Times New Roman"/>
                      <w:bCs/>
                      <w:i/>
                      <w:sz w:val="20"/>
                      <w:szCs w:val="20"/>
                      <w:lang w:val="fr-FR"/>
                    </w:rPr>
                  </m:ctrlPr>
                </m:sSubPr>
                <m:e>
                  <m:r>
                    <w:rPr>
                      <w:rFonts w:ascii="Cambria Math" w:eastAsia="Calibri" w:hAnsi="Cambria Math" w:cs="Times New Roman"/>
                      <w:sz w:val="20"/>
                      <w:szCs w:val="20"/>
                      <w:lang w:val="fr-FR"/>
                    </w:rPr>
                    <m:t>V</m:t>
                  </m:r>
                </m:e>
                <m:sub>
                  <m:r>
                    <w:rPr>
                      <w:rFonts w:ascii="Cambria Math" w:eastAsia="Calibri" w:hAnsi="Cambria Math" w:cs="Times New Roman"/>
                      <w:sz w:val="20"/>
                      <w:szCs w:val="20"/>
                      <w:lang w:val="fr-FR"/>
                    </w:rPr>
                    <m:t>0</m:t>
                  </m:r>
                </m:sub>
              </m:sSub>
            </m:num>
            <m:den>
              <m:sSub>
                <m:sSubPr>
                  <m:ctrlPr>
                    <w:rPr>
                      <w:rFonts w:ascii="Cambria Math" w:eastAsia="Calibri" w:hAnsi="Cambria Math" w:cs="Times New Roman"/>
                      <w:bCs/>
                      <w:i/>
                      <w:sz w:val="20"/>
                      <w:szCs w:val="20"/>
                      <w:lang w:val="fr-FR"/>
                    </w:rPr>
                  </m:ctrlPr>
                </m:sSubPr>
                <m:e>
                  <m:r>
                    <w:rPr>
                      <w:rFonts w:ascii="Cambria Math" w:eastAsia="Calibri" w:hAnsi="Cambria Math" w:cs="Times New Roman"/>
                      <w:sz w:val="20"/>
                      <w:szCs w:val="20"/>
                      <w:lang w:val="fr-FR"/>
                    </w:rPr>
                    <m:t>V</m:t>
                  </m:r>
                </m:e>
                <m:sub>
                  <m:r>
                    <w:rPr>
                      <w:rFonts w:ascii="Cambria Math" w:eastAsia="Calibri" w:hAnsi="Cambria Math" w:cs="Times New Roman"/>
                      <w:sz w:val="20"/>
                      <w:szCs w:val="20"/>
                      <w:lang w:val="fr-FR"/>
                    </w:rPr>
                    <m:t>1250</m:t>
                  </m:r>
                </m:sub>
              </m:sSub>
            </m:den>
          </m:f>
        </m:oMath>
      </m:oMathPara>
    </w:p>
    <w:p w:rsidR="002C1C73" w:rsidRPr="004E7CC3" w:rsidRDefault="002C1C73" w:rsidP="002C1C73">
      <w:pPr>
        <w:ind w:left="720"/>
        <w:contextualSpacing/>
        <w:jc w:val="both"/>
        <w:rPr>
          <w:rFonts w:ascii="Times New Roman" w:eastAsia="Calibri" w:hAnsi="Times New Roman" w:cs="Times New Roman"/>
          <w:b/>
          <w:bCs/>
          <w:sz w:val="20"/>
          <w:szCs w:val="20"/>
          <w:lang w:val="fr-FR"/>
        </w:rPr>
      </w:pPr>
    </w:p>
    <w:p w:rsidR="002C1C73" w:rsidRPr="004E7CC3" w:rsidRDefault="002C1C73" w:rsidP="002C1C73">
      <w:pPr>
        <w:ind w:left="720"/>
        <w:contextualSpacing/>
        <w:jc w:val="center"/>
        <w:rPr>
          <w:rFonts w:ascii="Times New Roman" w:eastAsia="Calibri" w:hAnsi="Times New Roman" w:cs="Times New Roman"/>
          <w:sz w:val="20"/>
          <w:szCs w:val="20"/>
          <w:lang w:val="fr-FR"/>
        </w:rPr>
      </w:pPr>
    </w:p>
    <w:p w:rsidR="002C1C73" w:rsidRPr="004E7CC3" w:rsidRDefault="002C1C73" w:rsidP="002C1C73">
      <w:pPr>
        <w:spacing w:line="360" w:lineRule="auto"/>
        <w:ind w:firstLine="708"/>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L’échelle du tableau 2 a permis de conclure sur la compressibilité de la poudre</w:t>
      </w:r>
    </w:p>
    <w:p w:rsidR="002C1C73" w:rsidRPr="004E7CC3" w:rsidRDefault="004E7CC3" w:rsidP="002C1C73">
      <w:pPr>
        <w:ind w:firstLine="708"/>
        <w:rPr>
          <w:rFonts w:ascii="Times New Roman" w:eastAsia="Times New Roman" w:hAnsi="Times New Roman" w:cs="Times New Roman"/>
          <w:sz w:val="20"/>
          <w:szCs w:val="20"/>
          <w:lang w:val="fr-FR" w:eastAsia="fr-FR"/>
        </w:rPr>
      </w:pPr>
      <w:bookmarkStart w:id="6" w:name="_Hlk174906891"/>
      <w:r>
        <w:rPr>
          <w:rFonts w:ascii="Times New Roman" w:eastAsia="Calibri" w:hAnsi="Times New Roman" w:cs="Times New Roman"/>
          <w:bCs/>
          <w:i/>
          <w:sz w:val="20"/>
          <w:szCs w:val="20"/>
          <w:lang w:val="fr-FR"/>
        </w:rPr>
        <w:t>Tableau3</w:t>
      </w:r>
      <w:r w:rsidR="002C1C73" w:rsidRPr="004E7CC3">
        <w:rPr>
          <w:rFonts w:ascii="Times New Roman" w:eastAsia="Calibri" w:hAnsi="Times New Roman" w:cs="Times New Roman"/>
          <w:bCs/>
          <w:i/>
          <w:sz w:val="20"/>
          <w:szCs w:val="20"/>
          <w:lang w:val="fr-FR"/>
        </w:rPr>
        <w:t>:</w:t>
      </w:r>
      <w:bookmarkEnd w:id="6"/>
      <w:r w:rsidR="002C1C73" w:rsidRPr="004E7CC3">
        <w:rPr>
          <w:rFonts w:ascii="Times New Roman" w:eastAsia="Calibri" w:hAnsi="Times New Roman" w:cs="Times New Roman"/>
          <w:bCs/>
          <w:i/>
          <w:sz w:val="20"/>
          <w:szCs w:val="20"/>
          <w:lang w:val="fr-FR"/>
        </w:rPr>
        <w:t xml:space="preserve"> </w:t>
      </w:r>
      <w:r w:rsidR="002C1C73" w:rsidRPr="004E7CC3">
        <w:rPr>
          <w:rFonts w:ascii="Times New Roman" w:eastAsia="Times New Roman" w:hAnsi="Times New Roman" w:cs="Times New Roman"/>
          <w:i/>
          <w:sz w:val="20"/>
          <w:szCs w:val="20"/>
          <w:lang w:val="fr-FR" w:eastAsia="fr-FR"/>
        </w:rPr>
        <w:t>Échelle de fluidité</w:t>
      </w:r>
      <w:r w:rsidR="002C1C73" w:rsidRPr="004E7CC3">
        <w:rPr>
          <w:rFonts w:ascii="Times New Roman" w:eastAsia="Times New Roman" w:hAnsi="Times New Roman" w:cs="Times New Roman"/>
          <w:sz w:val="20"/>
          <w:szCs w:val="20"/>
          <w:lang w:val="fr-FR" w:eastAsia="fr-FR"/>
        </w:rPr>
        <w:fldChar w:fldCharType="begin"/>
      </w:r>
      <w:r w:rsidR="002C1C73" w:rsidRPr="004E7CC3">
        <w:rPr>
          <w:rFonts w:ascii="Times New Roman" w:eastAsia="Times New Roman" w:hAnsi="Times New Roman" w:cs="Times New Roman"/>
          <w:sz w:val="20"/>
          <w:szCs w:val="20"/>
          <w:lang w:val="fr-FR" w:eastAsia="fr-FR"/>
        </w:rPr>
        <w:instrText xml:space="preserve"> ADDIN ZOTERO_ITEM CSL_CITATION {"citationID":"nojiI6Mb","properties":{"formattedCitation":"[7,8]","plainCitation":"[7,8]","noteIndex":0},"citationItems":[{"id":20,"uris":["http://zotero.org/users/13638572/items/MACG7N8K"],"itemData":{"id":20,"type":"webpage","title":"The 9th Edition European Pharmacopoeia: Maintaining high quality standards in a dynamic global environment - Portal","URL":"https://www.coe.int/en/web/portal/-/the-9th-edition-european-pharmacopoeia-maintaining-high-quality-standards-in-a-dynamic-global-environment","accessed":{"date-parts":[["2023",11,30]]}}},{"id":125,"uris":["http://zotero.org/users/13638572/items/TYB3FP2J"],"itemData":{"id":125,"type":"article-journal","abstract":"Malaria is a parasitic disease that is widely spread throughout the world. The annual number of cases is estimated at around 500 million; the African continent is the most affected, accounting for 95% of cases. For the treatment, WHO recommends artemisinin-based combinations; unfortunately, the cost of these combinations is relatively high, making them difficult to afford. This justifies the search for new antimalarial drugs. A large number of plant species in Cameroon have been identified as anti-malarial medicinal plants. Picralima nitida is one of the plants traditionally used to treat malaria in traditional medicine, and its in vitro and in vivo antimalarial activity and toxicological profile have already been scientifically demonstrated. The aim of the present study was to formulate capsules based on the aqueous extract of Picralima nitida fruit, in an attempt to rationalize its use in the treatment of malaria. The aqueous extract of Picralima nitida fruit was prepared by maceration and then stabilized; its physicochemical characteristics were determined. The daily quantity of extract required for the treatment of malaria was determined in milligrams of total alkaloids. Finally, the extract was stabilized before being filled into capsules using European pharmacopoeia techniques. The capsules were also tested according to European Pharmacopoeia 11th edition techniques. The extract was obtained in 6.25% yield. The extract was soft, hygroscopic, brown in color, very bitter in flavor and caramel in odor. The following phytochemical groups were present in the extract: alkaloids, phenolic compounds, flavonoid tannins, anthocyanins, saponins, terpenes, sterols. Total alkaloid content was 0.11g per gram of extract. To stabilize the extract and make it suitable for capsule filling, 25% colloidal silica and 13% microcrystalline cellulose were added. The stabilized extract showed good flowability (flow time 6s, Carr index 11.8% and Hausner index 1.13), a moderately fine powder texture (d50 &lt; 300um) and homogeneous distribution. The daily dose determined for a 60 kg adult was 3900mg of extract, corresponding to 313 mg of total alkaloids, which could be divided into 8 N°0 or 12 N°00 capsules. On inspection, the capsules were found to comply with the requirements of the 11th edition of the European Pharmacopoeia. The characteristics of the formulated capsules are favorable to make them a good candidate for the various phases of clinical trials with a view to making them an improved traditional medicine (ITM)","container-title":"International Journal of Biological and Pharmaceutical Sciences Archive","DOI":"10.53771/ijbpsa.2023.6.1.0086","ISSN":"0799-6616","issue":"1","language":"en","license":"CC BY-NC-SA 4.0 DEED Attribution-NonCommercial-ShareAlike 4.0 International","note":"publisher: Scientific Research Archives\nsection: Articles","page":"059-067","source":"ijbpsa.com","title":"Formulation of anti-malaria capsules based on the fruit of Picralima nitida (Stapf) T. Durand and H. Durand (Apocynaceae","volume":"6","author":[{"family":"Jatsa","given":"Mike"},{"family":"Kanmogne","given":"Carole"},{"family":"Djoko","given":"Ernest"},{"family":"Yimta","given":"Wandji"},{"family":"Wouessidjewe","given":"Denis"}],"issued":{"date-parts":[["2023"]]}}}],"schema":"https://github.com/citation-style-language/schema/raw/master/csl-citation.json"} </w:instrText>
      </w:r>
      <w:r w:rsidR="002C1C73" w:rsidRPr="004E7CC3">
        <w:rPr>
          <w:rFonts w:ascii="Times New Roman" w:eastAsia="Times New Roman" w:hAnsi="Times New Roman" w:cs="Times New Roman"/>
          <w:sz w:val="20"/>
          <w:szCs w:val="20"/>
          <w:lang w:val="fr-FR" w:eastAsia="fr-FR"/>
        </w:rPr>
        <w:fldChar w:fldCharType="separate"/>
      </w:r>
      <w:r w:rsidR="002C1C73" w:rsidRPr="004E7CC3">
        <w:rPr>
          <w:rFonts w:ascii="Times New Roman" w:eastAsia="Calibri" w:hAnsi="Times New Roman" w:cs="Times New Roman"/>
          <w:sz w:val="20"/>
          <w:szCs w:val="20"/>
          <w:lang w:val="fr-FR"/>
        </w:rPr>
        <w:t>[7,8]</w:t>
      </w:r>
      <w:r w:rsidR="002C1C73" w:rsidRPr="004E7CC3">
        <w:rPr>
          <w:rFonts w:ascii="Times New Roman" w:eastAsia="Times New Roman" w:hAnsi="Times New Roman" w:cs="Times New Roman"/>
          <w:sz w:val="20"/>
          <w:szCs w:val="20"/>
          <w:lang w:val="fr-FR" w:eastAsia="fr-FR"/>
        </w:rPr>
        <w:fldChar w:fldCharType="end"/>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97"/>
        <w:gridCol w:w="2977"/>
        <w:gridCol w:w="2977"/>
      </w:tblGrid>
      <w:tr w:rsidR="002C1C73" w:rsidRPr="004E7CC3" w:rsidTr="002C1C73">
        <w:trPr>
          <w:trHeight w:val="322"/>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bCs/>
                <w:sz w:val="20"/>
                <w:szCs w:val="20"/>
                <w:lang w:val="fr-FR"/>
              </w:rPr>
            </w:pPr>
            <w:r w:rsidRPr="004E7CC3">
              <w:rPr>
                <w:rFonts w:ascii="Times New Roman" w:eastAsia="Times New Roman" w:hAnsi="Times New Roman" w:cs="Times New Roman"/>
                <w:bCs/>
                <w:color w:val="000000"/>
                <w:sz w:val="20"/>
                <w:szCs w:val="20"/>
                <w:lang w:val="fr-FR"/>
              </w:rPr>
              <w:t>Indice de Compressibilité (%)</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bCs/>
                <w:sz w:val="20"/>
                <w:szCs w:val="20"/>
                <w:lang w:val="fr-FR"/>
              </w:rPr>
            </w:pPr>
            <w:r w:rsidRPr="004E7CC3">
              <w:rPr>
                <w:rFonts w:ascii="Times New Roman" w:eastAsia="Times New Roman" w:hAnsi="Times New Roman" w:cs="Times New Roman"/>
                <w:bCs/>
                <w:color w:val="000000"/>
                <w:sz w:val="20"/>
                <w:szCs w:val="20"/>
                <w:lang w:val="fr-FR"/>
              </w:rPr>
              <w:t>Aptitude au tassement</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bCs/>
                <w:sz w:val="20"/>
                <w:szCs w:val="20"/>
                <w:lang w:val="fr-FR"/>
              </w:rPr>
            </w:pPr>
            <w:r w:rsidRPr="004E7CC3">
              <w:rPr>
                <w:rFonts w:ascii="Times New Roman" w:eastAsia="Times New Roman" w:hAnsi="Times New Roman" w:cs="Times New Roman"/>
                <w:bCs/>
                <w:color w:val="000000"/>
                <w:sz w:val="20"/>
                <w:szCs w:val="20"/>
                <w:lang w:val="fr-FR"/>
              </w:rPr>
              <w:t xml:space="preserve">Indice de </w:t>
            </w:r>
            <w:proofErr w:type="spellStart"/>
            <w:r w:rsidRPr="004E7CC3">
              <w:rPr>
                <w:rFonts w:ascii="Times New Roman" w:eastAsia="Times New Roman" w:hAnsi="Times New Roman" w:cs="Times New Roman"/>
                <w:bCs/>
                <w:color w:val="000000"/>
                <w:sz w:val="20"/>
                <w:szCs w:val="20"/>
                <w:lang w:val="fr-FR"/>
              </w:rPr>
              <w:t>Hausner</w:t>
            </w:r>
            <w:proofErr w:type="spellEnd"/>
          </w:p>
        </w:tc>
      </w:tr>
      <w:tr w:rsidR="002C1C73" w:rsidRPr="004E7CC3" w:rsidTr="002C1C73">
        <w:trPr>
          <w:trHeight w:val="32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1-10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Excellente</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1,00-1,11</w:t>
            </w:r>
          </w:p>
        </w:tc>
      </w:tr>
      <w:tr w:rsidR="002C1C73" w:rsidRPr="004E7CC3" w:rsidTr="002C1C73">
        <w:trPr>
          <w:trHeight w:val="320"/>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11-15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Bonne</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1,12-1,18</w:t>
            </w:r>
          </w:p>
        </w:tc>
      </w:tr>
      <w:tr w:rsidR="002C1C73" w:rsidRPr="004E7CC3" w:rsidTr="002C1C73">
        <w:trPr>
          <w:trHeight w:val="18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16-20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Assez bonne</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1,19-1,25</w:t>
            </w:r>
          </w:p>
        </w:tc>
      </w:tr>
      <w:tr w:rsidR="002C1C73" w:rsidRPr="004E7CC3" w:rsidTr="002C1C73">
        <w:trPr>
          <w:trHeight w:val="190"/>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21-26</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Passable</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1,26-1,34</w:t>
            </w:r>
          </w:p>
        </w:tc>
      </w:tr>
      <w:tr w:rsidR="002C1C73" w:rsidRPr="004E7CC3" w:rsidTr="002C1C73">
        <w:trPr>
          <w:trHeight w:val="182"/>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26-31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Médiocre</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80" w:after="80" w:line="240" w:lineRule="auto"/>
              <w:jc w:val="center"/>
              <w:rPr>
                <w:rFonts w:ascii="Times New Roman" w:eastAsia="Times New Roman" w:hAnsi="Times New Roman" w:cs="Times New Roman"/>
                <w:sz w:val="20"/>
                <w:szCs w:val="20"/>
                <w:lang w:val="fr-FR"/>
              </w:rPr>
            </w:pPr>
            <w:r w:rsidRPr="004E7CC3">
              <w:rPr>
                <w:rFonts w:ascii="Times New Roman" w:eastAsia="Times New Roman" w:hAnsi="Times New Roman" w:cs="Times New Roman"/>
                <w:color w:val="000000"/>
                <w:sz w:val="20"/>
                <w:szCs w:val="20"/>
                <w:lang w:val="fr-FR"/>
              </w:rPr>
              <w:t>1,35-1,45</w:t>
            </w:r>
          </w:p>
        </w:tc>
      </w:tr>
      <w:tr w:rsidR="002C1C73" w:rsidRPr="004E7CC3" w:rsidTr="002C1C73">
        <w:trPr>
          <w:trHeight w:val="188"/>
          <w:jc w:val="center"/>
        </w:trPr>
        <w:tc>
          <w:tcPr>
            <w:tcW w:w="3397" w:type="dxa"/>
            <w:tcBorders>
              <w:top w:val="single" w:sz="4" w:space="0" w:color="auto"/>
              <w:left w:val="single" w:sz="4" w:space="0" w:color="auto"/>
              <w:bottom w:val="single" w:sz="4" w:space="0" w:color="auto"/>
              <w:right w:val="single" w:sz="4" w:space="0" w:color="auto"/>
            </w:tcBorders>
            <w:vAlign w:val="center"/>
          </w:tcPr>
          <w:p w:rsidR="002C1C73" w:rsidRPr="004E7CC3" w:rsidRDefault="002C1C73" w:rsidP="002C1C73">
            <w:pPr>
              <w:spacing w:before="80" w:after="80" w:line="240" w:lineRule="auto"/>
              <w:jc w:val="center"/>
              <w:rPr>
                <w:rFonts w:ascii="Times New Roman" w:eastAsia="Times New Roman" w:hAnsi="Times New Roman" w:cs="Times New Roman"/>
                <w:color w:val="000000"/>
                <w:sz w:val="20"/>
                <w:szCs w:val="20"/>
                <w:lang w:val="fr-FR"/>
              </w:rPr>
            </w:pPr>
            <w:r w:rsidRPr="004E7CC3">
              <w:rPr>
                <w:rFonts w:ascii="Times New Roman" w:eastAsia="Times New Roman" w:hAnsi="Times New Roman" w:cs="Times New Roman"/>
                <w:color w:val="000000"/>
                <w:sz w:val="20"/>
                <w:szCs w:val="20"/>
                <w:lang w:val="fr-FR"/>
              </w:rPr>
              <w:t>32-37</w:t>
            </w:r>
          </w:p>
        </w:tc>
        <w:tc>
          <w:tcPr>
            <w:tcW w:w="2977" w:type="dxa"/>
            <w:tcBorders>
              <w:top w:val="single" w:sz="4" w:space="0" w:color="auto"/>
              <w:left w:val="single" w:sz="4" w:space="0" w:color="auto"/>
              <w:bottom w:val="single" w:sz="4" w:space="0" w:color="auto"/>
              <w:right w:val="single" w:sz="4" w:space="0" w:color="auto"/>
            </w:tcBorders>
            <w:vAlign w:val="center"/>
          </w:tcPr>
          <w:p w:rsidR="002C1C73" w:rsidRPr="004E7CC3" w:rsidRDefault="002C1C73" w:rsidP="002C1C73">
            <w:pPr>
              <w:spacing w:before="80" w:after="80" w:line="240" w:lineRule="auto"/>
              <w:jc w:val="center"/>
              <w:rPr>
                <w:rFonts w:ascii="Times New Roman" w:eastAsia="Times New Roman" w:hAnsi="Times New Roman" w:cs="Times New Roman"/>
                <w:color w:val="000000"/>
                <w:sz w:val="20"/>
                <w:szCs w:val="20"/>
                <w:lang w:val="fr-FR"/>
              </w:rPr>
            </w:pPr>
            <w:r w:rsidRPr="004E7CC3">
              <w:rPr>
                <w:rFonts w:ascii="Times New Roman" w:eastAsia="Times New Roman" w:hAnsi="Times New Roman" w:cs="Times New Roman"/>
                <w:color w:val="000000"/>
                <w:sz w:val="20"/>
                <w:szCs w:val="20"/>
                <w:lang w:val="fr-FR"/>
              </w:rPr>
              <w:t>Très médiocre</w:t>
            </w:r>
          </w:p>
        </w:tc>
        <w:tc>
          <w:tcPr>
            <w:tcW w:w="2977" w:type="dxa"/>
            <w:tcBorders>
              <w:top w:val="single" w:sz="4" w:space="0" w:color="auto"/>
              <w:left w:val="single" w:sz="4" w:space="0" w:color="auto"/>
              <w:bottom w:val="single" w:sz="4" w:space="0" w:color="auto"/>
              <w:right w:val="single" w:sz="4" w:space="0" w:color="auto"/>
            </w:tcBorders>
            <w:vAlign w:val="center"/>
          </w:tcPr>
          <w:p w:rsidR="002C1C73" w:rsidRPr="004E7CC3" w:rsidRDefault="002C1C73" w:rsidP="002C1C73">
            <w:pPr>
              <w:spacing w:before="80" w:after="80" w:line="240" w:lineRule="auto"/>
              <w:jc w:val="center"/>
              <w:rPr>
                <w:rFonts w:ascii="Times New Roman" w:eastAsia="Times New Roman" w:hAnsi="Times New Roman" w:cs="Times New Roman"/>
                <w:color w:val="000000"/>
                <w:sz w:val="20"/>
                <w:szCs w:val="20"/>
                <w:lang w:val="fr-FR"/>
              </w:rPr>
            </w:pPr>
            <w:r w:rsidRPr="004E7CC3">
              <w:rPr>
                <w:rFonts w:ascii="Times New Roman" w:eastAsia="Times New Roman" w:hAnsi="Times New Roman" w:cs="Times New Roman"/>
                <w:color w:val="000000"/>
                <w:sz w:val="20"/>
                <w:szCs w:val="20"/>
                <w:lang w:val="fr-FR"/>
              </w:rPr>
              <w:t>1,46-1,59</w:t>
            </w:r>
          </w:p>
        </w:tc>
      </w:tr>
      <w:tr w:rsidR="002C1C73" w:rsidRPr="004E7CC3" w:rsidTr="002C1C73">
        <w:trPr>
          <w:trHeight w:val="58"/>
          <w:jc w:val="center"/>
        </w:trPr>
        <w:tc>
          <w:tcPr>
            <w:tcW w:w="3397" w:type="dxa"/>
            <w:tcBorders>
              <w:top w:val="single" w:sz="4" w:space="0" w:color="auto"/>
              <w:left w:val="single" w:sz="4" w:space="0" w:color="auto"/>
              <w:bottom w:val="single" w:sz="4" w:space="0" w:color="auto"/>
              <w:right w:val="single" w:sz="4" w:space="0" w:color="auto"/>
            </w:tcBorders>
            <w:vAlign w:val="center"/>
          </w:tcPr>
          <w:p w:rsidR="002C1C73" w:rsidRPr="004E7CC3" w:rsidRDefault="002C1C73" w:rsidP="002C1C73">
            <w:pPr>
              <w:spacing w:before="80" w:after="80" w:line="240" w:lineRule="auto"/>
              <w:jc w:val="center"/>
              <w:rPr>
                <w:rFonts w:ascii="Times New Roman" w:eastAsia="Times New Roman" w:hAnsi="Times New Roman" w:cs="Times New Roman"/>
                <w:color w:val="000000"/>
                <w:sz w:val="20"/>
                <w:szCs w:val="20"/>
                <w:lang w:val="fr-FR"/>
              </w:rPr>
            </w:pPr>
            <w:r w:rsidRPr="004E7CC3">
              <w:rPr>
                <w:rFonts w:ascii="Times New Roman" w:eastAsia="Times New Roman" w:hAnsi="Times New Roman" w:cs="Times New Roman"/>
                <w:color w:val="000000"/>
                <w:sz w:val="20"/>
                <w:szCs w:val="20"/>
                <w:lang w:val="fr-FR"/>
              </w:rPr>
              <w:t>˃ 38</w:t>
            </w:r>
          </w:p>
        </w:tc>
        <w:tc>
          <w:tcPr>
            <w:tcW w:w="2977" w:type="dxa"/>
            <w:tcBorders>
              <w:top w:val="single" w:sz="4" w:space="0" w:color="auto"/>
              <w:left w:val="single" w:sz="4" w:space="0" w:color="auto"/>
              <w:bottom w:val="single" w:sz="4" w:space="0" w:color="auto"/>
              <w:right w:val="single" w:sz="4" w:space="0" w:color="auto"/>
            </w:tcBorders>
            <w:vAlign w:val="center"/>
          </w:tcPr>
          <w:p w:rsidR="002C1C73" w:rsidRPr="004E7CC3" w:rsidRDefault="002C1C73" w:rsidP="002C1C73">
            <w:pPr>
              <w:spacing w:before="80" w:after="80" w:line="240" w:lineRule="auto"/>
              <w:jc w:val="center"/>
              <w:rPr>
                <w:rFonts w:ascii="Times New Roman" w:eastAsia="Times New Roman" w:hAnsi="Times New Roman" w:cs="Times New Roman"/>
                <w:color w:val="000000"/>
                <w:sz w:val="20"/>
                <w:szCs w:val="20"/>
                <w:lang w:val="fr-FR"/>
              </w:rPr>
            </w:pPr>
            <w:r w:rsidRPr="004E7CC3">
              <w:rPr>
                <w:rFonts w:ascii="Times New Roman" w:eastAsia="Times New Roman" w:hAnsi="Times New Roman" w:cs="Times New Roman"/>
                <w:color w:val="000000"/>
                <w:sz w:val="20"/>
                <w:szCs w:val="20"/>
                <w:lang w:val="fr-FR"/>
              </w:rPr>
              <w:t>Extrêmement médiocre</w:t>
            </w:r>
          </w:p>
        </w:tc>
        <w:tc>
          <w:tcPr>
            <w:tcW w:w="2977" w:type="dxa"/>
            <w:tcBorders>
              <w:top w:val="single" w:sz="4" w:space="0" w:color="auto"/>
              <w:left w:val="single" w:sz="4" w:space="0" w:color="auto"/>
              <w:bottom w:val="single" w:sz="4" w:space="0" w:color="auto"/>
              <w:right w:val="single" w:sz="4" w:space="0" w:color="auto"/>
            </w:tcBorders>
            <w:vAlign w:val="center"/>
          </w:tcPr>
          <w:p w:rsidR="002C1C73" w:rsidRPr="004E7CC3" w:rsidRDefault="002C1C73" w:rsidP="002C1C73">
            <w:pPr>
              <w:spacing w:before="80" w:after="80" w:line="240" w:lineRule="auto"/>
              <w:jc w:val="center"/>
              <w:rPr>
                <w:rFonts w:ascii="Times New Roman" w:eastAsia="Times New Roman" w:hAnsi="Times New Roman" w:cs="Times New Roman"/>
                <w:color w:val="000000"/>
                <w:sz w:val="20"/>
                <w:szCs w:val="20"/>
                <w:lang w:val="fr-FR"/>
              </w:rPr>
            </w:pPr>
            <w:r w:rsidRPr="004E7CC3">
              <w:rPr>
                <w:rFonts w:ascii="Times New Roman" w:eastAsia="Times New Roman" w:hAnsi="Times New Roman" w:cs="Times New Roman"/>
                <w:color w:val="000000"/>
                <w:sz w:val="20"/>
                <w:szCs w:val="20"/>
                <w:lang w:val="fr-FR"/>
              </w:rPr>
              <w:t>˃ 1,60</w:t>
            </w:r>
          </w:p>
        </w:tc>
      </w:tr>
    </w:tbl>
    <w:p w:rsidR="004E7CC3" w:rsidRDefault="004E7CC3" w:rsidP="004E7CC3">
      <w:pPr>
        <w:spacing w:line="360" w:lineRule="auto"/>
        <w:ind w:firstLine="708"/>
        <w:jc w:val="both"/>
        <w:rPr>
          <w:rFonts w:ascii="Times New Roman" w:eastAsia="Calibri" w:hAnsi="Times New Roman" w:cs="Times New Roman"/>
          <w:sz w:val="20"/>
          <w:szCs w:val="20"/>
          <w:lang w:val="fr-FR"/>
        </w:rPr>
      </w:pPr>
    </w:p>
    <w:p w:rsidR="004E7CC3" w:rsidRPr="004E7CC3" w:rsidRDefault="004E7CC3" w:rsidP="004E7CC3">
      <w:pPr>
        <w:spacing w:line="360" w:lineRule="auto"/>
        <w:ind w:firstLine="708"/>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L’analyse granulométrique a été étudiée en utilisant la méthode des tamis, ce qui a permis de conclure sur l’homogénéité de la poudre (</w:t>
      </w:r>
      <w:r w:rsidRPr="004E7CC3">
        <w:rPr>
          <w:rFonts w:ascii="Times New Roman" w:eastAsia="Calibri" w:hAnsi="Times New Roman" w:cs="Times New Roman"/>
          <w:color w:val="44546A" w:themeColor="text2"/>
          <w:sz w:val="20"/>
          <w:szCs w:val="20"/>
          <w:lang w:val="fr-FR"/>
        </w:rPr>
        <w:t xml:space="preserve">tableau IV) </w:t>
      </w:r>
      <w:r w:rsidRPr="004E7CC3">
        <w:rPr>
          <w:rFonts w:ascii="Times New Roman" w:eastAsia="Calibri" w:hAnsi="Times New Roman" w:cs="Times New Roman"/>
          <w:sz w:val="20"/>
          <w:szCs w:val="20"/>
          <w:lang w:val="fr-FR"/>
        </w:rPr>
        <w:t xml:space="preserve">: 100 g de poudre ont été placés au sommet d'une colonne de tamis normalisés pour analyse granulométrique, et après 10 minutes d'agitation, les masses de résidu des différents tamis ont été </w:t>
      </w:r>
      <w:r w:rsidRPr="004E7CC3">
        <w:rPr>
          <w:rFonts w:ascii="Times New Roman" w:eastAsia="Calibri" w:hAnsi="Times New Roman" w:cs="Times New Roman"/>
          <w:sz w:val="20"/>
          <w:szCs w:val="20"/>
          <w:lang w:val="fr-FR"/>
        </w:rPr>
        <w:lastRenderedPageBreak/>
        <w:t>déterminées par pesée. L’histogramme des fréquences simples et cumulatives a permis de déterminer la taille médiane (d50) correspondant au diamètre de 50 % de la poudre</w:t>
      </w:r>
      <w:r w:rsidRPr="004E7CC3">
        <w:rPr>
          <w:rFonts w:ascii="Times New Roman" w:eastAsia="Calibri" w:hAnsi="Times New Roman" w:cs="Times New Roman"/>
          <w:sz w:val="20"/>
          <w:szCs w:val="20"/>
          <w:lang w:val="fr-FR"/>
        </w:rPr>
        <w:fldChar w:fldCharType="begin"/>
      </w:r>
      <w:r w:rsidRPr="004E7CC3">
        <w:rPr>
          <w:rFonts w:ascii="Times New Roman" w:eastAsia="Calibri" w:hAnsi="Times New Roman" w:cs="Times New Roman"/>
          <w:sz w:val="20"/>
          <w:szCs w:val="20"/>
          <w:lang w:val="fr-FR"/>
        </w:rPr>
        <w:instrText xml:space="preserve"> ADDIN ZOTERO_ITEM CSL_CITATION {"citationID":"M5xLwmgd","properties":{"formattedCitation":"[7\\uc0\\u8211{}9]","plainCitation":"[7–9]","noteIndex":0},"citationItems":[{"id":20,"uris":["http://zotero.org/users/13638572/items/MACG7N8K"],"itemData":{"id":20,"type":"webpage","title":"The 9th Edition European Pharmacopoeia: Maintaining high quality standards in a dynamic global environment - Portal","URL":"https://www.coe.int/en/web/portal/-/the-9th-edition-european-pharmacopoeia-maintaining-high-quality-standards-in-a-dynamic-global-environment","accessed":{"date-parts":[["2023",11,30]]}}},{"id":125,"uris":["http://zotero.org/users/13638572/items/TYB3FP2J"],"itemData":{"id":125,"type":"article-journal","abstract":"Malaria is a parasitic disease that is widely spread throughout the world. The annual number of cases is estimated at around 500 million; the African continent is the most affected, accounting for 95% of cases. For the treatment, WHO recommends artemisinin-based combinations; unfortunately, the cost of these combinations is relatively high, making them difficult to afford. This justifies the search for new antimalarial drugs. A large number of plant species in Cameroon have been identified as anti-malarial medicinal plants. Picralima nitida is one of the plants traditionally used to treat malaria in traditional medicine, and its in vitro and in vivo antimalarial activity and toxicological profile have already been scientifically demonstrated. The aim of the present study was to formulate capsules based on the aqueous extract of Picralima nitida fruit, in an attempt to rationalize its use in the treatment of malaria. The aqueous extract of Picralima nitida fruit was prepared by maceration and then stabilized; its physicochemical characteristics were determined. The daily quantity of extract required for the treatment of malaria was determined in milligrams of total alkaloids. Finally, the extract was stabilized before being filled into capsules using European pharmacopoeia techniques. The capsules were also tested according to European Pharmacopoeia 11th edition techniques. The extract was obtained in 6.25% yield. The extract was soft, hygroscopic, brown in color, very bitter in flavor and caramel in odor. The following phytochemical groups were present in the extract: alkaloids, phenolic compounds, flavonoid tannins, anthocyanins, saponins, terpenes, sterols. Total alkaloid content was 0.11g per gram of extract. To stabilize the extract and make it suitable for capsule filling, 25% colloidal silica and 13% microcrystalline cellulose were added. The stabilized extract showed good flowability (flow time 6s, Carr index 11.8% and Hausner index 1.13), a moderately fine powder texture (d50 &lt; 300um) and homogeneous distribution. The daily dose determined for a 60 kg adult was 3900mg of extract, corresponding to 313 mg of total alkaloids, which could be divided into 8 N°0 or 12 N°00 capsules. On inspection, the capsules were found to comply with the requirements of the 11th edition of the European Pharmacopoeia. The characteristics of the formulated capsules are favorable to make them a good candidate for the various phases of clinical trials with a view to making them an improved traditional medicine (ITM)","container-title":"International Journal of Biological and Pharmaceutical Sciences Archive","DOI":"10.53771/ijbpsa.2023.6.1.0086","ISSN":"0799-6616","issue":"1","language":"en","license":"CC BY-NC-SA 4.0 DEED Attribution-NonCommercial-ShareAlike 4.0 International","note":"publisher: Scientific Research Archives\nsection: Articles","page":"059-067","source":"ijbpsa.com","title":"Formulation of anti-malaria capsules based on the fruit of Picralima nitida (Stapf) T. Durand and H. Durand (Apocynaceae","volume":"6","author":[{"family":"Jatsa","given":"Mike"},{"family":"Kanmogne","given":"Carole"},{"family":"Djoko","given":"Ernest"},{"family":"Yimta","given":"Wandji"},{"family":"Wouessidjewe","given":"Denis"}],"issued":{"date-parts":[["2023"]]}}},{"id":154,"uris":["http://zotero.org/users/13638572/items/JUYQNVH9"],"itemData":{"id":154,"type":"article-journal","abstract":"RÉSUMÉIntroduction. Depuis quelques années, les Combinaisons Thérapeutiques à base d’Artémisinine (CTA) sont l’objet de nombreux cas de résistances thérapeutiques. Par ailleurs, plusieurs études ont démontré l’efficacité d’Artemisia annua (Asteraceae) sur les formes résistantes de Plasmodium. Ce travail a donc pour objectif de mettre au point des gélules à base de la poudre de feuilles et de tiges d’A. annua afin d’améliorer la prise en charge du paludisme en Afrique. Méthodes. Cette étude a consisté à caractériser la poudre et les granulés d’A. annua, obtenus par granulation humide par ajout de l’empois d’amidon de maïs. Puis des gélules dosées à 125 mg d’A. annua, ont été formulées et contrôlées selon la pharmacopée européenne 9e éd. Résultats. L’analyse granulométrique de la poudre a donné un diamètre médian (d50) inferieur à 50 µm et 600 µm pour les granulés. Les gélules obtenues, ont une répartition uniforme de la masse (125,7 mg). Le temps de désagrégation des gélules est de 3,5 ± 1,4 mn. Les teneurs en flavonoïdes totaux de la poudre et des gélules sont de 8,8  ± 1,2 mg et 1,6  ± 0,1 mg équivalent de quercétine. Conclusion. Ce travail a permis de mettre au point des gélules à base de feuilles et de tiges d’A. annua conformes à la Pharmacopée européenne 9e éd.ABSTRACTIntroduction. In recent years, Artemisinin-based Therapeutic Combinations (CTAs) was the subject of numerous cases of therapeutic resistance. In addition, several studies have demonstrated the efficacy of Artemisia annua (Asteraceae) on the resistant forms of Plasmodium. This work therefore aims to develop capsules based on the powder of leaves and stems of A. annua to improve the management of malaria in Africa. Methods. This study consisted in characterizing the powder and granules of A. annua, obtained by wet granulation by adding corn starch paste. Then capsules containing 125 mg of A. annua, have been formulated and controlled according to the European Pharmacopoeia 9th Ed. Results. The particle size analysis of the powder gave a median diameter (d50) of less than 50 µm and 600 µm for the granules. The capsules obtained have a uniform distribution of mass (125.7 mg). The disintegration time of the capsules is 3.5 ± 1.4 min. The total flavonoid contents of the powder and capsules are 8.8 ± 1.2 mg and 1.6 ± 0.1 mg equivalent of quercétine. Conclusion. This work made it possible to develop capsules based on leaves and stems of A. annua conform to the European Pharmacopoeia 9th Ed.","container-title":"HEALTH SCIENCES AND DISEASE","DOI":"10.5281/hsd.v21i4.1804","ISSN":"2309-6535","issue":"4","language":"fr","license":"Copyright (c)","note":"number: 4","source":"www.hsd-fmsb.org","title":"Formulation de Gélules à Base de Feuilles et de Tiges d’Artemisia Annua","URL":"http://www.hsd-fmsb.org/index.php/hsd/article/view/1804","volume":"21","author":[{"family":"Chougouo-Nkuitchou","given":"Rosine D. K."},{"family":"N'guessan","given":"Alain"},{"family":"Nkamenjo","given":"Cécile"},{"family":"Djoko","given":"Ernest"},{"family":"Kouamouo","given":"Jonas"},{"family":"Tane","given":"Pierre"},{"family":"Koffi","given":"Armand A."},{"family":"Wouessidjewe","given":"Denis"}],"accessed":{"date-parts":[["2024",5,7]]},"issued":{"date-parts":[["2020",3,21]]}}}],"schema":"https://github.com/citation-style-language/schema/raw/master/csl-citation.json"} </w:instrText>
      </w:r>
      <w:r w:rsidRPr="004E7CC3">
        <w:rPr>
          <w:rFonts w:ascii="Times New Roman" w:eastAsia="Calibri" w:hAnsi="Times New Roman" w:cs="Times New Roman"/>
          <w:sz w:val="20"/>
          <w:szCs w:val="20"/>
          <w:lang w:val="fr-FR"/>
        </w:rPr>
        <w:fldChar w:fldCharType="separate"/>
      </w:r>
      <w:r w:rsidRPr="004E7CC3">
        <w:rPr>
          <w:rFonts w:ascii="Times New Roman" w:eastAsia="Calibri" w:hAnsi="Times New Roman" w:cs="Times New Roman"/>
          <w:sz w:val="20"/>
          <w:szCs w:val="20"/>
          <w:lang w:val="fr-FR"/>
        </w:rPr>
        <w:t>[7–9]</w:t>
      </w:r>
      <w:r w:rsidRPr="004E7CC3">
        <w:rPr>
          <w:rFonts w:ascii="Times New Roman" w:eastAsia="Calibri" w:hAnsi="Times New Roman" w:cs="Times New Roman"/>
          <w:sz w:val="20"/>
          <w:szCs w:val="20"/>
          <w:lang w:val="fr-FR"/>
        </w:rPr>
        <w:fldChar w:fldCharType="end"/>
      </w:r>
      <w:r w:rsidRPr="004E7CC3">
        <w:rPr>
          <w:rFonts w:ascii="Times New Roman" w:eastAsia="Calibri" w:hAnsi="Times New Roman" w:cs="Times New Roman"/>
          <w:sz w:val="20"/>
          <w:szCs w:val="20"/>
          <w:lang w:val="fr-FR"/>
        </w:rPr>
        <w:t>.</w:t>
      </w:r>
    </w:p>
    <w:p w:rsidR="002C1C73" w:rsidRPr="004E7CC3" w:rsidRDefault="002C1C73" w:rsidP="002C1C73">
      <w:pPr>
        <w:spacing w:line="360" w:lineRule="auto"/>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À la lumière du tableau 3, la poudre a pu être désignée par le terme descriptif approprié.</w:t>
      </w:r>
    </w:p>
    <w:p w:rsidR="002C1C73" w:rsidRPr="004E7CC3" w:rsidRDefault="002C1C73" w:rsidP="002C1C73">
      <w:pPr>
        <w:ind w:firstLine="708"/>
        <w:rPr>
          <w:rFonts w:ascii="Times New Roman" w:eastAsia="Calibri" w:hAnsi="Times New Roman" w:cs="Times New Roman"/>
          <w:sz w:val="20"/>
          <w:szCs w:val="20"/>
          <w:lang w:val="fr-FR"/>
        </w:rPr>
      </w:pPr>
      <w:r w:rsidRPr="004E7CC3">
        <w:rPr>
          <w:rFonts w:ascii="Times New Roman" w:eastAsia="Calibri" w:hAnsi="Times New Roman" w:cs="Times New Roman"/>
          <w:bCs/>
          <w:i/>
          <w:sz w:val="20"/>
          <w:szCs w:val="20"/>
          <w:lang w:val="fr-FR"/>
        </w:rPr>
        <w:t xml:space="preserve">Tableau IV : </w:t>
      </w:r>
      <w:r w:rsidRPr="004E7CC3">
        <w:rPr>
          <w:rFonts w:ascii="Times New Roman" w:eastAsia="Calibri" w:hAnsi="Times New Roman" w:cs="Times New Roman"/>
          <w:i/>
          <w:sz w:val="20"/>
          <w:szCs w:val="20"/>
          <w:lang w:val="fr-FR"/>
        </w:rPr>
        <w:t>Classification des poudres par finesse</w:t>
      </w:r>
      <w:r w:rsidRPr="004E7CC3">
        <w:rPr>
          <w:rFonts w:ascii="Times New Roman" w:eastAsia="Calibri" w:hAnsi="Times New Roman" w:cs="Times New Roman"/>
          <w:sz w:val="20"/>
          <w:szCs w:val="20"/>
          <w:lang w:val="fr-FR"/>
        </w:rPr>
        <w:fldChar w:fldCharType="begin"/>
      </w:r>
      <w:r w:rsidRPr="004E7CC3">
        <w:rPr>
          <w:rFonts w:ascii="Times New Roman" w:eastAsia="Calibri" w:hAnsi="Times New Roman" w:cs="Times New Roman"/>
          <w:sz w:val="20"/>
          <w:szCs w:val="20"/>
          <w:lang w:val="fr-FR"/>
        </w:rPr>
        <w:instrText xml:space="preserve"> ADDIN ZOTERO_ITEM CSL_CITATION {"citationID":"JNTfBkiY","properties":{"formattedCitation":"[7,8]","plainCitation":"[7,8]","noteIndex":0},"citationItems":[{"id":20,"uris":["http://zotero.org/users/13638572/items/MACG7N8K"],"itemData":{"id":20,"type":"webpage","title":"The 9th Edition European Pharmacopoeia: Maintaining high quality standards in a dynamic global environment - Portal","URL":"https://www.coe.int/en/web/portal/-/the-9th-edition-european-pharmacopoeia-maintaining-high-quality-standards-in-a-dynamic-global-environment","accessed":{"date-parts":[["2023",11,30]]}}},{"id":125,"uris":["http://zotero.org/users/13638572/items/TYB3FP2J"],"itemData":{"id":125,"type":"article-journal","abstract":"Malaria is a parasitic disease that is widely spread throughout the world. The annual number of cases is estimated at around 500 million; the African continent is the most affected, accounting for 95% of cases. For the treatment, WHO recommends artemisinin-based combinations; unfortunately, the cost of these combinations is relatively high, making them difficult to afford. This justifies the search for new antimalarial drugs. A large number of plant species in Cameroon have been identified as anti-malarial medicinal plants. Picralima nitida is one of the plants traditionally used to treat malaria in traditional medicine, and its in vitro and in vivo antimalarial activity and toxicological profile have already been scientifically demonstrated. The aim of the present study was to formulate capsules based on the aqueous extract of Picralima nitida fruit, in an attempt to rationalize its use in the treatment of malaria. The aqueous extract of Picralima nitida fruit was prepared by maceration and then stabilized; its physicochemical characteristics were determined. The daily quantity of extract required for the treatment of malaria was determined in milligrams of total alkaloids. Finally, the extract was stabilized before being filled into capsules using European pharmacopoeia techniques. The capsules were also tested according to European Pharmacopoeia 11th edition techniques. The extract was obtained in 6.25% yield. The extract was soft, hygroscopic, brown in color, very bitter in flavor and caramel in odor. The following phytochemical groups were present in the extract: alkaloids, phenolic compounds, flavonoid tannins, anthocyanins, saponins, terpenes, sterols. Total alkaloid content was 0.11g per gram of extract. To stabilize the extract and make it suitable for capsule filling, 25% colloidal silica and 13% microcrystalline cellulose were added. The stabilized extract showed good flowability (flow time 6s, Carr index 11.8% and Hausner index 1.13), a moderately fine powder texture (d50 &lt; 300um) and homogeneous distribution. The daily dose determined for a 60 kg adult was 3900mg of extract, corresponding to 313 mg of total alkaloids, which could be divided into 8 N°0 or 12 N°00 capsules. On inspection, the capsules were found to comply with the requirements of the 11th edition of the European Pharmacopoeia. The characteristics of the formulated capsules are favorable to make them a good candidate for the various phases of clinical trials with a view to making them an improved traditional medicine (ITM)","container-title":"International Journal of Biological and Pharmaceutical Sciences Archive","DOI":"10.53771/ijbpsa.2023.6.1.0086","ISSN":"0799-6616","issue":"1","language":"en","license":"CC BY-NC-SA 4.0 DEED Attribution-NonCommercial-ShareAlike 4.0 International","note":"publisher: Scientific Research Archives\nsection: Articles","page":"059-067","source":"ijbpsa.com","title":"Formulation of anti-malaria capsules based on the fruit of Picralima nitida (Stapf) T. Durand and H. Durand (Apocynaceae","volume":"6","author":[{"family":"Jatsa","given":"Mike"},{"family":"Kanmogne","given":"Carole"},{"family":"Djoko","given":"Ernest"},{"family":"Yimta","given":"Wandji"},{"family":"Wouessidjewe","given":"Denis"}],"issued":{"date-parts":[["2023"]]}}}],"schema":"https://github.com/citation-style-language/schema/raw/master/csl-citation.json"} </w:instrText>
      </w:r>
      <w:r w:rsidRPr="004E7CC3">
        <w:rPr>
          <w:rFonts w:ascii="Times New Roman" w:eastAsia="Calibri" w:hAnsi="Times New Roman" w:cs="Times New Roman"/>
          <w:sz w:val="20"/>
          <w:szCs w:val="20"/>
          <w:lang w:val="fr-FR"/>
        </w:rPr>
        <w:fldChar w:fldCharType="separate"/>
      </w:r>
      <w:r w:rsidRPr="004E7CC3">
        <w:rPr>
          <w:rFonts w:ascii="Times New Roman" w:eastAsia="Calibri" w:hAnsi="Times New Roman" w:cs="Times New Roman"/>
          <w:sz w:val="20"/>
          <w:szCs w:val="20"/>
          <w:lang w:val="fr-FR"/>
        </w:rPr>
        <w:t>[7,8]</w:t>
      </w:r>
      <w:r w:rsidRPr="004E7CC3">
        <w:rPr>
          <w:rFonts w:ascii="Times New Roman" w:eastAsia="Calibri" w:hAnsi="Times New Roman" w:cs="Times New Roman"/>
          <w:sz w:val="20"/>
          <w:szCs w:val="20"/>
          <w:lang w:val="fr-FR"/>
        </w:rPr>
        <w:fldChar w:fldCharType="end"/>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24"/>
      </w:tblGrid>
      <w:tr w:rsidR="002C1C73" w:rsidRPr="004E7CC3" w:rsidTr="002C1C73">
        <w:trPr>
          <w:trHeight w:val="262"/>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rPr>
                <w:rFonts w:ascii="Times New Roman" w:eastAsia="Calibri" w:hAnsi="Times New Roman" w:cs="Times New Roman"/>
                <w:bCs/>
                <w:sz w:val="20"/>
                <w:szCs w:val="20"/>
                <w:lang w:val="fr-FR"/>
              </w:rPr>
            </w:pPr>
            <w:r w:rsidRPr="004E7CC3">
              <w:rPr>
                <w:rFonts w:ascii="Times New Roman" w:eastAsia="Calibri" w:hAnsi="Times New Roman" w:cs="Times New Roman"/>
                <w:bCs/>
                <w:sz w:val="20"/>
                <w:szCs w:val="20"/>
                <w:lang w:val="fr-FR"/>
              </w:rPr>
              <w:t>Terme descriptif</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jc w:val="center"/>
              <w:rPr>
                <w:rFonts w:ascii="Times New Roman" w:eastAsia="Calibri" w:hAnsi="Times New Roman" w:cs="Times New Roman"/>
                <w:bCs/>
                <w:sz w:val="20"/>
                <w:szCs w:val="20"/>
                <w:lang w:val="fr-FR"/>
              </w:rPr>
            </w:pPr>
            <w:r w:rsidRPr="004E7CC3">
              <w:rPr>
                <w:rFonts w:ascii="Times New Roman" w:eastAsia="Calibri" w:hAnsi="Times New Roman" w:cs="Times New Roman"/>
                <w:bCs/>
                <w:sz w:val="20"/>
                <w:szCs w:val="20"/>
                <w:lang w:val="fr-FR"/>
              </w:rPr>
              <w:t>D50 (</w:t>
            </w:r>
            <w:proofErr w:type="spellStart"/>
            <w:r w:rsidRPr="004E7CC3">
              <w:rPr>
                <w:rFonts w:ascii="Times New Roman" w:eastAsia="Calibri" w:hAnsi="Times New Roman" w:cs="Times New Roman"/>
                <w:bCs/>
                <w:sz w:val="20"/>
                <w:szCs w:val="20"/>
                <w:lang w:val="fr-FR"/>
              </w:rPr>
              <w:t>μm</w:t>
            </w:r>
            <w:proofErr w:type="spellEnd"/>
            <w:r w:rsidRPr="004E7CC3">
              <w:rPr>
                <w:rFonts w:ascii="Times New Roman" w:eastAsia="Calibri" w:hAnsi="Times New Roman" w:cs="Times New Roman"/>
                <w:bCs/>
                <w:sz w:val="20"/>
                <w:szCs w:val="20"/>
                <w:lang w:val="fr-FR"/>
              </w:rPr>
              <w:t>)</w:t>
            </w:r>
          </w:p>
        </w:tc>
      </w:tr>
      <w:tr w:rsidR="002C1C73" w:rsidRPr="004E7CC3" w:rsidTr="002C1C73">
        <w:trPr>
          <w:trHeight w:val="92"/>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Grossière</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jc w:val="center"/>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 355</w:t>
            </w:r>
          </w:p>
        </w:tc>
      </w:tr>
      <w:tr w:rsidR="002C1C73" w:rsidRPr="004E7CC3" w:rsidTr="002C1C73">
        <w:trPr>
          <w:trHeight w:val="58"/>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Modérément fine</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jc w:val="center"/>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180 – 355</w:t>
            </w:r>
          </w:p>
        </w:tc>
      </w:tr>
      <w:tr w:rsidR="002C1C73" w:rsidRPr="004E7CC3" w:rsidTr="002C1C73">
        <w:trPr>
          <w:trHeight w:val="92"/>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Fine</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jc w:val="center"/>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125 – 180</w:t>
            </w:r>
          </w:p>
        </w:tc>
      </w:tr>
      <w:tr w:rsidR="002C1C73" w:rsidRPr="004E7CC3" w:rsidTr="002C1C73">
        <w:trPr>
          <w:trHeight w:val="252"/>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Très fine</w:t>
            </w:r>
          </w:p>
        </w:tc>
        <w:tc>
          <w:tcPr>
            <w:tcW w:w="3024" w:type="dxa"/>
            <w:tcBorders>
              <w:top w:val="single" w:sz="4" w:space="0" w:color="auto"/>
              <w:left w:val="single" w:sz="4" w:space="0" w:color="auto"/>
              <w:bottom w:val="single" w:sz="4" w:space="0" w:color="auto"/>
              <w:right w:val="single" w:sz="4" w:space="0" w:color="auto"/>
            </w:tcBorders>
            <w:vAlign w:val="center"/>
            <w:hideMark/>
          </w:tcPr>
          <w:p w:rsidR="002C1C73" w:rsidRPr="004E7CC3" w:rsidRDefault="002C1C73" w:rsidP="002C1C73">
            <w:pPr>
              <w:spacing w:before="120" w:after="120" w:line="240" w:lineRule="auto"/>
              <w:jc w:val="center"/>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 125</w:t>
            </w:r>
          </w:p>
        </w:tc>
      </w:tr>
    </w:tbl>
    <w:p w:rsidR="002C1C73" w:rsidRPr="004E7CC3" w:rsidRDefault="002C1C73" w:rsidP="002C1C73">
      <w:pPr>
        <w:rPr>
          <w:rFonts w:ascii="Times New Roman" w:eastAsia="Calibri" w:hAnsi="Times New Roman" w:cs="Times New Roman"/>
          <w:sz w:val="20"/>
          <w:szCs w:val="20"/>
          <w:lang w:val="fr-FR"/>
        </w:rPr>
      </w:pPr>
    </w:p>
    <w:p w:rsidR="004E7CC3" w:rsidRDefault="002C1C73" w:rsidP="002C1C73">
      <w:pPr>
        <w:spacing w:line="360" w:lineRule="auto"/>
        <w:ind w:left="720"/>
        <w:contextualSpacing/>
        <w:jc w:val="both"/>
        <w:rPr>
          <w:rFonts w:ascii="Times New Roman" w:eastAsia="Calibri" w:hAnsi="Times New Roman" w:cs="Times New Roman"/>
          <w:b/>
          <w:bCs/>
          <w:sz w:val="20"/>
          <w:szCs w:val="20"/>
          <w:lang w:val="fr-FR"/>
        </w:rPr>
      </w:pPr>
      <w:r w:rsidRPr="004E7CC3">
        <w:rPr>
          <w:rFonts w:ascii="Times New Roman" w:eastAsia="Calibri" w:hAnsi="Times New Roman" w:cs="Times New Roman"/>
          <w:bCs/>
          <w:sz w:val="20"/>
          <w:szCs w:val="20"/>
          <w:lang w:val="fr-FR"/>
        </w:rPr>
        <w:t>Remplissage des gélules</w:t>
      </w:r>
      <w:r w:rsidR="004E7CC3">
        <w:rPr>
          <w:rFonts w:ascii="Times New Roman" w:eastAsia="Calibri" w:hAnsi="Times New Roman" w:cs="Times New Roman"/>
          <w:b/>
          <w:bCs/>
          <w:sz w:val="20"/>
          <w:szCs w:val="20"/>
          <w:lang w:val="fr-FR"/>
        </w:rPr>
        <w:t>.</w:t>
      </w:r>
    </w:p>
    <w:p w:rsidR="002C1C73" w:rsidRPr="004E7CC3" w:rsidRDefault="002C1C73" w:rsidP="002C1C73">
      <w:pPr>
        <w:spacing w:line="360" w:lineRule="auto"/>
        <w:ind w:left="720"/>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 xml:space="preserve"> Compte tenu des caractéristiques de la poudre, il a été possible de procéder au remplissage des capsules en utilisant la méthode d’arasage sur un </w:t>
      </w:r>
      <w:proofErr w:type="spellStart"/>
      <w:r w:rsidRPr="004E7CC3">
        <w:rPr>
          <w:rFonts w:ascii="Times New Roman" w:eastAsia="Calibri" w:hAnsi="Times New Roman" w:cs="Times New Roman"/>
          <w:sz w:val="20"/>
          <w:szCs w:val="20"/>
          <w:lang w:val="fr-FR"/>
        </w:rPr>
        <w:t>gélulier</w:t>
      </w:r>
      <w:proofErr w:type="spellEnd"/>
      <w:r w:rsidRPr="004E7CC3">
        <w:rPr>
          <w:rFonts w:ascii="Times New Roman" w:eastAsia="Calibri" w:hAnsi="Times New Roman" w:cs="Times New Roman"/>
          <w:sz w:val="20"/>
          <w:szCs w:val="20"/>
          <w:lang w:val="fr-FR"/>
        </w:rPr>
        <w:t xml:space="preserve"> semi-automatique à 100 unités. Les lots ont été soumis aux contrôles habituels de pharmacopée</w:t>
      </w:r>
      <w:r w:rsidRPr="004E7CC3">
        <w:rPr>
          <w:rFonts w:ascii="Times New Roman" w:eastAsia="Calibri" w:hAnsi="Times New Roman" w:cs="Times New Roman"/>
          <w:sz w:val="20"/>
          <w:szCs w:val="20"/>
          <w:lang w:val="fr-FR"/>
        </w:rPr>
        <w:fldChar w:fldCharType="begin"/>
      </w:r>
      <w:r w:rsidRPr="004E7CC3">
        <w:rPr>
          <w:rFonts w:ascii="Times New Roman" w:eastAsia="Calibri" w:hAnsi="Times New Roman" w:cs="Times New Roman"/>
          <w:sz w:val="20"/>
          <w:szCs w:val="20"/>
          <w:lang w:val="fr-FR"/>
        </w:rPr>
        <w:instrText xml:space="preserve"> ADDIN ZOTERO_ITEM CSL_CITATION {"citationID":"X9D4MaCq","properties":{"formattedCitation":"[7]","plainCitation":"[7]","noteIndex":0},"citationItems":[{"id":20,"uris":["http://zotero.org/users/13638572/items/MACG7N8K"],"itemData":{"id":20,"type":"webpage","title":"The 9th Edition European Pharmacopoeia: Maintaining high quality standards in a dynamic global environment - Portal","URL":"https://www.coe.int/en/web/portal/-/the-9th-edition-european-pharmacopoeia-maintaining-high-quality-standards-in-a-dynamic-global-environment","accessed":{"date-parts":[["2023",11,30]]}}}],"schema":"https://github.com/citation-style-language/schema/raw/master/csl-citation.json"} </w:instrText>
      </w:r>
      <w:r w:rsidRPr="004E7CC3">
        <w:rPr>
          <w:rFonts w:ascii="Times New Roman" w:eastAsia="Calibri" w:hAnsi="Times New Roman" w:cs="Times New Roman"/>
          <w:sz w:val="20"/>
          <w:szCs w:val="20"/>
          <w:lang w:val="fr-FR"/>
        </w:rPr>
        <w:fldChar w:fldCharType="separate"/>
      </w:r>
      <w:r w:rsidRPr="004E7CC3">
        <w:rPr>
          <w:rFonts w:ascii="Times New Roman" w:eastAsia="Calibri" w:hAnsi="Times New Roman" w:cs="Times New Roman"/>
          <w:sz w:val="20"/>
          <w:szCs w:val="20"/>
          <w:lang w:val="fr-FR"/>
        </w:rPr>
        <w:t>[7]</w:t>
      </w:r>
      <w:r w:rsidRPr="004E7CC3">
        <w:rPr>
          <w:rFonts w:ascii="Times New Roman" w:eastAsia="Calibri" w:hAnsi="Times New Roman" w:cs="Times New Roman"/>
          <w:sz w:val="20"/>
          <w:szCs w:val="20"/>
          <w:lang w:val="fr-FR"/>
        </w:rPr>
        <w:fldChar w:fldCharType="end"/>
      </w:r>
      <w:r w:rsidRPr="004E7CC3">
        <w:rPr>
          <w:rFonts w:ascii="Times New Roman" w:eastAsia="Calibri" w:hAnsi="Times New Roman" w:cs="Times New Roman"/>
          <w:sz w:val="20"/>
          <w:szCs w:val="20"/>
          <w:lang w:val="fr-FR"/>
        </w:rPr>
        <w:t xml:space="preserve"> :</w:t>
      </w:r>
    </w:p>
    <w:p w:rsidR="002C1C73" w:rsidRPr="004E7CC3" w:rsidRDefault="002C1C73" w:rsidP="002C1C73">
      <w:pPr>
        <w:numPr>
          <w:ilvl w:val="1"/>
          <w:numId w:val="2"/>
        </w:numPr>
        <w:spacing w:line="360" w:lineRule="auto"/>
        <w:contextualSpacing/>
        <w:jc w:val="both"/>
        <w:rPr>
          <w:rFonts w:ascii="Times New Roman" w:eastAsia="Calibri" w:hAnsi="Times New Roman" w:cs="Times New Roman"/>
          <w:bCs/>
          <w:sz w:val="20"/>
          <w:szCs w:val="20"/>
          <w:lang w:val="fr-FR"/>
        </w:rPr>
      </w:pPr>
      <w:r w:rsidRPr="004E7CC3">
        <w:rPr>
          <w:rFonts w:ascii="Times New Roman" w:eastAsia="Calibri" w:hAnsi="Times New Roman" w:cs="Times New Roman"/>
          <w:sz w:val="20"/>
          <w:szCs w:val="20"/>
          <w:lang w:val="fr-FR"/>
        </w:rPr>
        <w:t>Contrôle organoleptique : la couleur, l’aspect, le goût, la présence ou non de fissures ont été décrits.</w:t>
      </w:r>
    </w:p>
    <w:p w:rsidR="002C1C73" w:rsidRPr="004E7CC3" w:rsidRDefault="002C1C73" w:rsidP="002C1C73">
      <w:pPr>
        <w:numPr>
          <w:ilvl w:val="1"/>
          <w:numId w:val="2"/>
        </w:numPr>
        <w:spacing w:line="360" w:lineRule="auto"/>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Uniformité de la masse : détermination de l’écart maximal acceptable par rapport à la masse moyenne de 20 gélules prises au hasard.</w:t>
      </w:r>
    </w:p>
    <w:p w:rsidR="002C1C73" w:rsidRPr="004E7CC3" w:rsidRDefault="002C1C73" w:rsidP="002C1C73">
      <w:pPr>
        <w:spacing w:line="360" w:lineRule="auto"/>
        <w:ind w:left="2160"/>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Si la masse moyenne m est &lt; 300 mg, l’écart tolérable est de 10 % de m.</w:t>
      </w:r>
    </w:p>
    <w:p w:rsidR="002C1C73" w:rsidRPr="004E7CC3" w:rsidRDefault="002C1C73" w:rsidP="002C1C73">
      <w:pPr>
        <w:spacing w:line="360" w:lineRule="auto"/>
        <w:ind w:left="2160"/>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Si la masse moyenne m est ≥ 300 mg, l’écart tolérable est de 7,5 % de m.</w:t>
      </w:r>
    </w:p>
    <w:p w:rsidR="002C1C73" w:rsidRPr="004E7CC3" w:rsidRDefault="002C1C73" w:rsidP="002C1C73">
      <w:pPr>
        <w:numPr>
          <w:ilvl w:val="1"/>
          <w:numId w:val="2"/>
        </w:numPr>
        <w:spacing w:line="360" w:lineRule="auto"/>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Temps de désagrégation : aucune des gélules placées dans les 6 tubes de l'appareil de désagrégation ne doit montrer de résidu solide après 30 minutes de fonctionnement de l'appareil à 37° ± 2 °C.</w:t>
      </w:r>
    </w:p>
    <w:p w:rsidR="002C1C73" w:rsidRPr="004E7CC3" w:rsidRDefault="002C1C73" w:rsidP="002C1C73">
      <w:pPr>
        <w:numPr>
          <w:ilvl w:val="1"/>
          <w:numId w:val="2"/>
        </w:numPr>
        <w:spacing w:line="360" w:lineRule="auto"/>
        <w:contextualSpacing/>
        <w:jc w:val="both"/>
        <w:rPr>
          <w:rFonts w:ascii="Times New Roman" w:eastAsia="Calibri" w:hAnsi="Times New Roman" w:cs="Times New Roman"/>
          <w:sz w:val="20"/>
          <w:szCs w:val="20"/>
          <w:lang w:val="fr-FR"/>
        </w:rPr>
      </w:pPr>
      <w:r w:rsidRPr="004E7CC3">
        <w:rPr>
          <w:rFonts w:ascii="Times New Roman" w:eastAsia="Calibri" w:hAnsi="Times New Roman" w:cs="Times New Roman"/>
          <w:sz w:val="20"/>
          <w:szCs w:val="20"/>
          <w:lang w:val="fr-FR"/>
        </w:rPr>
        <w:t xml:space="preserve">Qualité microbiologique : le contrôle de la qualité microbiologique a été réalisé conformément aux techniques recommandées par la Pharmacopée Européenne édition IX. Une solution mère correspondant à 1 g/ml a été préparée en homogénéisant la poudre de gélule dans de l'eau physiologique. Deux dilutions, une au 1/10 et l’autre au 1/100 ont ensuite été placées dans des boîtes de pétri de 90 </w:t>
      </w:r>
      <w:proofErr w:type="spellStart"/>
      <w:r w:rsidRPr="004E7CC3">
        <w:rPr>
          <w:rFonts w:ascii="Times New Roman" w:eastAsia="Calibri" w:hAnsi="Times New Roman" w:cs="Times New Roman"/>
          <w:sz w:val="20"/>
          <w:szCs w:val="20"/>
          <w:lang w:val="fr-FR"/>
        </w:rPr>
        <w:t>mm.</w:t>
      </w:r>
      <w:proofErr w:type="spellEnd"/>
      <w:r w:rsidRPr="004E7CC3">
        <w:rPr>
          <w:rFonts w:ascii="Times New Roman" w:eastAsia="Calibri" w:hAnsi="Times New Roman" w:cs="Times New Roman"/>
          <w:sz w:val="20"/>
          <w:szCs w:val="20"/>
          <w:lang w:val="fr-FR"/>
        </w:rPr>
        <w:t xml:space="preserve"> Comme indiqué dans le tableau 4, le milieu de culture et le temps d'incubation dépendaient du type de microbe recherché.</w:t>
      </w:r>
    </w:p>
    <w:p w:rsidR="002C1C73" w:rsidRPr="004E7CC3" w:rsidRDefault="002C1C73" w:rsidP="002C1C73">
      <w:pPr>
        <w:spacing w:line="360" w:lineRule="auto"/>
        <w:ind w:left="1440"/>
        <w:contextualSpacing/>
        <w:jc w:val="both"/>
        <w:rPr>
          <w:rFonts w:ascii="Times New Roman" w:eastAsia="Calibri" w:hAnsi="Times New Roman" w:cs="Times New Roman"/>
          <w:sz w:val="20"/>
          <w:szCs w:val="20"/>
          <w:lang w:val="fr-FR"/>
        </w:rPr>
      </w:pPr>
    </w:p>
    <w:p w:rsidR="002C1C73" w:rsidRPr="004E7CC3" w:rsidRDefault="002C1C73" w:rsidP="002C1C73">
      <w:pPr>
        <w:ind w:left="372" w:firstLine="336"/>
        <w:jc w:val="both"/>
        <w:rPr>
          <w:rFonts w:ascii="Times New Roman" w:eastAsia="Calibri" w:hAnsi="Times New Roman" w:cs="Times New Roman"/>
          <w:i/>
          <w:sz w:val="20"/>
          <w:szCs w:val="20"/>
          <w:lang w:val="fr-FR"/>
        </w:rPr>
      </w:pPr>
      <w:bookmarkStart w:id="7" w:name="_Hlk175140201"/>
      <w:r w:rsidRPr="004E7CC3">
        <w:rPr>
          <w:rFonts w:ascii="Times New Roman" w:eastAsia="Calibri" w:hAnsi="Times New Roman" w:cs="Times New Roman"/>
          <w:bCs/>
          <w:i/>
          <w:sz w:val="20"/>
          <w:szCs w:val="20"/>
          <w:lang w:val="fr-FR"/>
        </w:rPr>
        <w:t xml:space="preserve">Tableau 4 : </w:t>
      </w:r>
      <w:r w:rsidRPr="004E7CC3">
        <w:rPr>
          <w:rFonts w:ascii="Times New Roman" w:eastAsia="Calibri" w:hAnsi="Times New Roman" w:cs="Times New Roman"/>
          <w:i/>
          <w:sz w:val="20"/>
          <w:szCs w:val="20"/>
          <w:lang w:val="fr-FR"/>
        </w:rPr>
        <w:t>Conditions pour le contrôle microbiologique</w:t>
      </w:r>
    </w:p>
    <w:tbl>
      <w:tblPr>
        <w:tblStyle w:val="Grilledutableau"/>
        <w:tblW w:w="9781" w:type="dxa"/>
        <w:jc w:val="center"/>
        <w:tblLook w:val="04A0" w:firstRow="1" w:lastRow="0" w:firstColumn="1" w:lastColumn="0" w:noHBand="0" w:noVBand="1"/>
      </w:tblPr>
      <w:tblGrid>
        <w:gridCol w:w="2268"/>
        <w:gridCol w:w="1985"/>
        <w:gridCol w:w="1980"/>
        <w:gridCol w:w="3548"/>
      </w:tblGrid>
      <w:tr w:rsidR="002C1C73" w:rsidRPr="002C1C73" w:rsidTr="00CD7B6A">
        <w:trPr>
          <w:jc w:val="center"/>
        </w:trPr>
        <w:tc>
          <w:tcPr>
            <w:tcW w:w="2268" w:type="dxa"/>
            <w:vAlign w:val="center"/>
          </w:tcPr>
          <w:bookmarkEnd w:id="7"/>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bCs/>
                <w:sz w:val="20"/>
                <w:szCs w:val="20"/>
              </w:rPr>
              <w:t>Milieu de culture</w:t>
            </w:r>
          </w:p>
        </w:tc>
        <w:tc>
          <w:tcPr>
            <w:tcW w:w="1985"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bCs/>
                <w:sz w:val="20"/>
                <w:szCs w:val="20"/>
              </w:rPr>
              <w:t>Temps d'incubation</w:t>
            </w:r>
          </w:p>
        </w:tc>
        <w:tc>
          <w:tcPr>
            <w:tcW w:w="1980"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bCs/>
                <w:sz w:val="20"/>
                <w:szCs w:val="20"/>
              </w:rPr>
              <w:t>Température d'incubation</w:t>
            </w:r>
          </w:p>
        </w:tc>
        <w:tc>
          <w:tcPr>
            <w:tcW w:w="354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bCs/>
                <w:sz w:val="20"/>
                <w:szCs w:val="20"/>
              </w:rPr>
              <w:t>Observation à la fin de l'incubation</w:t>
            </w:r>
          </w:p>
        </w:tc>
      </w:tr>
      <w:tr w:rsidR="002C1C73" w:rsidRPr="00D87D7B" w:rsidTr="00CD7B6A">
        <w:trPr>
          <w:jc w:val="center"/>
        </w:trPr>
        <w:tc>
          <w:tcPr>
            <w:tcW w:w="226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sz w:val="20"/>
                <w:szCs w:val="20"/>
              </w:rPr>
              <w:t>Plate Count Agar (PCA)</w:t>
            </w:r>
          </w:p>
        </w:tc>
        <w:tc>
          <w:tcPr>
            <w:tcW w:w="1985"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24 H</w:t>
            </w:r>
          </w:p>
        </w:tc>
        <w:tc>
          <w:tcPr>
            <w:tcW w:w="1980"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33°C</w:t>
            </w:r>
          </w:p>
        </w:tc>
        <w:tc>
          <w:tcPr>
            <w:tcW w:w="354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sz w:val="20"/>
                <w:szCs w:val="20"/>
              </w:rPr>
              <w:t>Colonies à compter</w:t>
            </w:r>
          </w:p>
        </w:tc>
      </w:tr>
      <w:tr w:rsidR="002C1C73" w:rsidRPr="00D87D7B" w:rsidTr="00CD7B6A">
        <w:trPr>
          <w:jc w:val="center"/>
        </w:trPr>
        <w:tc>
          <w:tcPr>
            <w:tcW w:w="226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proofErr w:type="spellStart"/>
            <w:r w:rsidRPr="00CD7B6A">
              <w:rPr>
                <w:rFonts w:ascii="Times New Roman" w:eastAsia="Calibri" w:hAnsi="Times New Roman" w:cs="Times New Roman"/>
                <w:sz w:val="20"/>
                <w:szCs w:val="20"/>
              </w:rPr>
              <w:t>Sabouraud</w:t>
            </w:r>
            <w:proofErr w:type="spellEnd"/>
            <w:r w:rsidRPr="00CD7B6A">
              <w:rPr>
                <w:rFonts w:ascii="Times New Roman" w:eastAsia="Calibri" w:hAnsi="Times New Roman" w:cs="Times New Roman"/>
                <w:sz w:val="20"/>
                <w:szCs w:val="20"/>
              </w:rPr>
              <w:t xml:space="preserve"> Dextrose Agar (SDA)</w:t>
            </w:r>
          </w:p>
        </w:tc>
        <w:tc>
          <w:tcPr>
            <w:tcW w:w="1985"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24 H</w:t>
            </w:r>
          </w:p>
        </w:tc>
        <w:tc>
          <w:tcPr>
            <w:tcW w:w="1980"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33°C</w:t>
            </w:r>
          </w:p>
        </w:tc>
        <w:tc>
          <w:tcPr>
            <w:tcW w:w="354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sz w:val="20"/>
                <w:szCs w:val="20"/>
              </w:rPr>
              <w:t>Colonies à compter</w:t>
            </w:r>
          </w:p>
        </w:tc>
      </w:tr>
      <w:tr w:rsidR="002C1C73" w:rsidRPr="002C1C73" w:rsidTr="00CD7B6A">
        <w:trPr>
          <w:jc w:val="center"/>
        </w:trPr>
        <w:tc>
          <w:tcPr>
            <w:tcW w:w="226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proofErr w:type="spellStart"/>
            <w:r w:rsidRPr="00CD7B6A">
              <w:rPr>
                <w:rFonts w:ascii="Times New Roman" w:eastAsia="Calibri" w:hAnsi="Times New Roman" w:cs="Times New Roman"/>
                <w:sz w:val="20"/>
                <w:szCs w:val="20"/>
              </w:rPr>
              <w:lastRenderedPageBreak/>
              <w:t>MacConkey</w:t>
            </w:r>
            <w:proofErr w:type="spellEnd"/>
          </w:p>
        </w:tc>
        <w:tc>
          <w:tcPr>
            <w:tcW w:w="1985"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48 H</w:t>
            </w:r>
          </w:p>
        </w:tc>
        <w:tc>
          <w:tcPr>
            <w:tcW w:w="1980"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44°C</w:t>
            </w:r>
          </w:p>
        </w:tc>
        <w:tc>
          <w:tcPr>
            <w:tcW w:w="354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sz w:val="20"/>
                <w:szCs w:val="20"/>
              </w:rPr>
              <w:t>Pas de colonies rouge entourées d’un halo</w:t>
            </w:r>
          </w:p>
        </w:tc>
      </w:tr>
      <w:tr w:rsidR="002C1C73" w:rsidRPr="002C1C73" w:rsidTr="00CD7B6A">
        <w:trPr>
          <w:jc w:val="center"/>
        </w:trPr>
        <w:tc>
          <w:tcPr>
            <w:tcW w:w="226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sz w:val="20"/>
                <w:szCs w:val="20"/>
              </w:rPr>
              <w:t>Chapman</w:t>
            </w:r>
          </w:p>
        </w:tc>
        <w:tc>
          <w:tcPr>
            <w:tcW w:w="1985"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72 H</w:t>
            </w:r>
          </w:p>
        </w:tc>
        <w:tc>
          <w:tcPr>
            <w:tcW w:w="1980"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33°C</w:t>
            </w:r>
          </w:p>
        </w:tc>
        <w:tc>
          <w:tcPr>
            <w:tcW w:w="354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sz w:val="20"/>
                <w:szCs w:val="20"/>
              </w:rPr>
              <w:t>Pas de colonies jaune/blanches entourée d’une zone jaune</w:t>
            </w:r>
          </w:p>
        </w:tc>
      </w:tr>
      <w:tr w:rsidR="002C1C73" w:rsidRPr="002C1C73" w:rsidTr="00CD7B6A">
        <w:trPr>
          <w:jc w:val="center"/>
        </w:trPr>
        <w:tc>
          <w:tcPr>
            <w:tcW w:w="226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sz w:val="20"/>
                <w:szCs w:val="20"/>
              </w:rPr>
              <w:t xml:space="preserve">Bile Esculine </w:t>
            </w:r>
            <w:proofErr w:type="spellStart"/>
            <w:r w:rsidRPr="00CD7B6A">
              <w:rPr>
                <w:rFonts w:ascii="Times New Roman" w:eastAsia="Calibri" w:hAnsi="Times New Roman" w:cs="Times New Roman"/>
                <w:sz w:val="20"/>
                <w:szCs w:val="20"/>
              </w:rPr>
              <w:t>Azide</w:t>
            </w:r>
            <w:proofErr w:type="spellEnd"/>
            <w:r w:rsidRPr="00CD7B6A">
              <w:rPr>
                <w:rFonts w:ascii="Times New Roman" w:eastAsia="Calibri" w:hAnsi="Times New Roman" w:cs="Times New Roman"/>
                <w:sz w:val="20"/>
                <w:szCs w:val="20"/>
              </w:rPr>
              <w:t xml:space="preserve"> (BEA)</w:t>
            </w:r>
          </w:p>
        </w:tc>
        <w:tc>
          <w:tcPr>
            <w:tcW w:w="1985"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72 H</w:t>
            </w:r>
          </w:p>
        </w:tc>
        <w:tc>
          <w:tcPr>
            <w:tcW w:w="1980" w:type="dxa"/>
            <w:vAlign w:val="center"/>
          </w:tcPr>
          <w:p w:rsidR="002C1C73" w:rsidRPr="00CD7B6A" w:rsidRDefault="002C1C73" w:rsidP="002C1C73">
            <w:pPr>
              <w:spacing w:before="60" w:after="60"/>
              <w:jc w:val="center"/>
              <w:rPr>
                <w:rFonts w:ascii="Times New Roman" w:eastAsia="Calibri" w:hAnsi="Times New Roman" w:cs="Times New Roman"/>
                <w:sz w:val="20"/>
                <w:szCs w:val="20"/>
              </w:rPr>
            </w:pPr>
            <w:r w:rsidRPr="00CD7B6A">
              <w:rPr>
                <w:rFonts w:ascii="Times New Roman" w:eastAsia="Calibri" w:hAnsi="Times New Roman" w:cs="Times New Roman"/>
                <w:sz w:val="20"/>
                <w:szCs w:val="20"/>
              </w:rPr>
              <w:t>33°C</w:t>
            </w:r>
          </w:p>
        </w:tc>
        <w:tc>
          <w:tcPr>
            <w:tcW w:w="3548" w:type="dxa"/>
            <w:vAlign w:val="center"/>
          </w:tcPr>
          <w:p w:rsidR="002C1C73" w:rsidRPr="00CD7B6A" w:rsidRDefault="002C1C73" w:rsidP="002C1C73">
            <w:pPr>
              <w:spacing w:before="60" w:after="60"/>
              <w:jc w:val="both"/>
              <w:rPr>
                <w:rFonts w:ascii="Times New Roman" w:eastAsia="Calibri" w:hAnsi="Times New Roman" w:cs="Times New Roman"/>
                <w:sz w:val="20"/>
                <w:szCs w:val="20"/>
              </w:rPr>
            </w:pPr>
            <w:r w:rsidRPr="00CD7B6A">
              <w:rPr>
                <w:rFonts w:ascii="Times New Roman" w:eastAsia="Calibri" w:hAnsi="Times New Roman" w:cs="Times New Roman"/>
                <w:sz w:val="20"/>
                <w:szCs w:val="20"/>
              </w:rPr>
              <w:t>Pas de colonies translucides entourées d’un halo noir</w:t>
            </w:r>
          </w:p>
        </w:tc>
      </w:tr>
    </w:tbl>
    <w:p w:rsidR="002C1C73" w:rsidRPr="00D87D7B" w:rsidRDefault="002C1C73" w:rsidP="002C1C73">
      <w:pPr>
        <w:jc w:val="both"/>
        <w:rPr>
          <w:rFonts w:ascii="Times New Roman" w:eastAsia="Calibri" w:hAnsi="Times New Roman" w:cs="Times New Roman"/>
          <w:sz w:val="24"/>
          <w:szCs w:val="24"/>
          <w:lang w:val="fr-FR"/>
        </w:rPr>
      </w:pPr>
    </w:p>
    <w:p w:rsidR="002C1C73" w:rsidRPr="00D87D7B" w:rsidRDefault="002C1C73" w:rsidP="002C1C73">
      <w:pPr>
        <w:numPr>
          <w:ilvl w:val="0"/>
          <w:numId w:val="1"/>
        </w:numPr>
        <w:spacing w:line="240" w:lineRule="auto"/>
        <w:contextualSpacing/>
        <w:jc w:val="both"/>
        <w:rPr>
          <w:rFonts w:ascii="Times New Roman" w:eastAsia="Calibri" w:hAnsi="Times New Roman" w:cs="Times New Roman"/>
          <w:b/>
          <w:bCs/>
          <w:sz w:val="28"/>
          <w:szCs w:val="28"/>
          <w:lang w:val="fr-FR"/>
        </w:rPr>
      </w:pPr>
      <w:r w:rsidRPr="00D87D7B">
        <w:rPr>
          <w:rFonts w:ascii="Times New Roman" w:eastAsia="Calibri" w:hAnsi="Times New Roman" w:cs="Times New Roman"/>
          <w:b/>
          <w:bCs/>
          <w:sz w:val="28"/>
          <w:szCs w:val="28"/>
          <w:lang w:val="fr-FR"/>
        </w:rPr>
        <w:t>Résultats</w:t>
      </w:r>
    </w:p>
    <w:p w:rsidR="002C1C73" w:rsidRPr="00CD7B6A" w:rsidRDefault="00CD7B6A" w:rsidP="002C1C73">
      <w:pPr>
        <w:spacing w:line="360" w:lineRule="auto"/>
        <w:ind w:left="360"/>
        <w:jc w:val="both"/>
        <w:rPr>
          <w:rFonts w:ascii="Times New Roman" w:eastAsia="Calibri" w:hAnsi="Times New Roman" w:cs="Times New Roman"/>
          <w:b/>
          <w:sz w:val="24"/>
          <w:szCs w:val="24"/>
          <w:lang w:val="fr-FR"/>
        </w:rPr>
      </w:pPr>
      <w:bookmarkStart w:id="8" w:name="_Hlk175157905"/>
      <w:r w:rsidRPr="00CD7B6A">
        <w:rPr>
          <w:rFonts w:ascii="Times New Roman" w:eastAsia="Calibri" w:hAnsi="Times New Roman" w:cs="Times New Roman"/>
          <w:b/>
          <w:sz w:val="24"/>
          <w:szCs w:val="24"/>
          <w:lang w:val="fr-FR"/>
        </w:rPr>
        <w:t>II-1.</w:t>
      </w:r>
      <w:r w:rsidR="002C1C73" w:rsidRPr="00CD7B6A">
        <w:rPr>
          <w:rFonts w:ascii="Times New Roman" w:eastAsia="Calibri" w:hAnsi="Times New Roman" w:cs="Times New Roman"/>
          <w:b/>
          <w:sz w:val="24"/>
          <w:szCs w:val="24"/>
          <w:lang w:val="fr-FR"/>
        </w:rPr>
        <w:t xml:space="preserve"> Caractères organoleptiques des poudres</w:t>
      </w:r>
    </w:p>
    <w:bookmarkEnd w:id="8"/>
    <w:p w:rsidR="002C1C73" w:rsidRPr="00CD7B6A" w:rsidRDefault="002C1C73" w:rsidP="002C1C73">
      <w:pPr>
        <w:spacing w:line="360" w:lineRule="auto"/>
        <w:ind w:firstLine="708"/>
        <w:jc w:val="both"/>
        <w:rPr>
          <w:rFonts w:ascii="Times New Roman" w:eastAsia="Times New Roman" w:hAnsi="Times New Roman" w:cs="Times New Roman"/>
          <w:sz w:val="20"/>
          <w:szCs w:val="20"/>
          <w:lang w:val="fr-FR"/>
        </w:rPr>
      </w:pPr>
      <w:r w:rsidRPr="00CD7B6A">
        <w:rPr>
          <w:rFonts w:ascii="Times New Roman" w:eastAsia="Calibri" w:hAnsi="Times New Roman" w:cs="Times New Roman"/>
          <w:sz w:val="20"/>
          <w:szCs w:val="20"/>
          <w:lang w:val="fr-FR"/>
        </w:rPr>
        <w:t xml:space="preserve">Les rhizomes de </w:t>
      </w:r>
      <w:proofErr w:type="spellStart"/>
      <w:r w:rsidRPr="00CD7B6A">
        <w:rPr>
          <w:rFonts w:ascii="Times New Roman" w:eastAsia="Calibri" w:hAnsi="Times New Roman" w:cs="Times New Roman"/>
          <w:i/>
          <w:sz w:val="20"/>
          <w:szCs w:val="20"/>
          <w:lang w:val="fr-FR"/>
        </w:rPr>
        <w:t>Zingiber</w:t>
      </w:r>
      <w:proofErr w:type="spellEnd"/>
      <w:r w:rsidRPr="00CD7B6A">
        <w:rPr>
          <w:rFonts w:ascii="Times New Roman" w:eastAsia="Calibri" w:hAnsi="Times New Roman" w:cs="Times New Roman"/>
          <w:i/>
          <w:sz w:val="20"/>
          <w:szCs w:val="20"/>
          <w:lang w:val="fr-FR"/>
        </w:rPr>
        <w:t xml:space="preserve"> officinale</w:t>
      </w:r>
      <w:r w:rsidRPr="00CD7B6A">
        <w:rPr>
          <w:rFonts w:ascii="Times New Roman" w:eastAsia="Calibri" w:hAnsi="Times New Roman" w:cs="Times New Roman"/>
          <w:sz w:val="20"/>
          <w:szCs w:val="20"/>
          <w:lang w:val="fr-FR"/>
        </w:rPr>
        <w:t xml:space="preserve"> achetés dans la ville de </w:t>
      </w:r>
      <w:proofErr w:type="spellStart"/>
      <w:r w:rsidRPr="00CD7B6A">
        <w:rPr>
          <w:rFonts w:ascii="Times New Roman" w:eastAsia="Calibri" w:hAnsi="Times New Roman" w:cs="Times New Roman"/>
          <w:sz w:val="20"/>
          <w:szCs w:val="20"/>
          <w:lang w:val="fr-FR"/>
        </w:rPr>
        <w:t>Kékem</w:t>
      </w:r>
      <w:proofErr w:type="spellEnd"/>
      <w:r w:rsidRPr="00CD7B6A">
        <w:rPr>
          <w:rFonts w:ascii="Times New Roman" w:eastAsia="Calibri" w:hAnsi="Times New Roman" w:cs="Times New Roman"/>
          <w:sz w:val="20"/>
          <w:szCs w:val="20"/>
          <w:lang w:val="fr-FR"/>
        </w:rPr>
        <w:t xml:space="preserve"> (Ouest Cameroun) </w:t>
      </w:r>
      <w:r w:rsidRPr="00CD7B6A">
        <w:rPr>
          <w:rFonts w:ascii="Times New Roman" w:eastAsia="Times New Roman" w:hAnsi="Times New Roman" w:cs="Times New Roman"/>
          <w:sz w:val="20"/>
          <w:szCs w:val="20"/>
          <w:lang w:val="fr-FR"/>
        </w:rPr>
        <w:t xml:space="preserve">ont été identifiés et confirmés à l’Herbier National du Cameroun en comparaison avec le matériel original de l’Herbier National N° 43144 / HNC récolté par Westphal sous le n° 10106. </w:t>
      </w:r>
    </w:p>
    <w:p w:rsidR="002C1C73" w:rsidRPr="00CD7B6A" w:rsidRDefault="002C1C73" w:rsidP="002C1C73">
      <w:pPr>
        <w:spacing w:line="360" w:lineRule="auto"/>
        <w:ind w:firstLine="708"/>
        <w:jc w:val="both"/>
        <w:rPr>
          <w:rFonts w:ascii="Times New Roman" w:eastAsia="Times New Roman" w:hAnsi="Times New Roman" w:cs="Times New Roman"/>
          <w:sz w:val="20"/>
          <w:szCs w:val="20"/>
          <w:lang w:val="fr-FR"/>
        </w:rPr>
      </w:pPr>
      <w:r w:rsidRPr="00CD7B6A">
        <w:rPr>
          <w:rFonts w:ascii="Times New Roman" w:eastAsia="Times New Roman" w:hAnsi="Times New Roman" w:cs="Times New Roman"/>
          <w:sz w:val="20"/>
          <w:szCs w:val="20"/>
          <w:lang w:val="fr-FR"/>
        </w:rPr>
        <w:t>L'extrait aqueux a été obtenu avec un rendement de 12 % et se présentait sous forme de poudre, de couleur marron clair, d’odeur piquante et de saveur légèrement poivrée.</w:t>
      </w:r>
    </w:p>
    <w:p w:rsidR="002C1C73" w:rsidRPr="00D87D7B" w:rsidRDefault="002C1C73" w:rsidP="002C1C73">
      <w:pPr>
        <w:spacing w:line="360" w:lineRule="auto"/>
        <w:ind w:firstLine="708"/>
        <w:jc w:val="both"/>
        <w:rPr>
          <w:rFonts w:ascii="Times New Roman" w:eastAsia="Times New Roman" w:hAnsi="Times New Roman" w:cs="Times New Roman"/>
          <w:sz w:val="24"/>
          <w:lang w:val="fr-FR"/>
        </w:rPr>
      </w:pPr>
      <w:r w:rsidRPr="00CD7B6A">
        <w:rPr>
          <w:rFonts w:ascii="Times New Roman" w:eastAsia="Times New Roman" w:hAnsi="Times New Roman" w:cs="Times New Roman"/>
          <w:sz w:val="20"/>
          <w:szCs w:val="20"/>
          <w:lang w:val="fr-FR"/>
        </w:rPr>
        <w:t xml:space="preserve"> La poudre brute elle était de couleur jaune clair, d’odeur piquante et de saveur poivrée. Elle avait une solubilité de 10-1 g/l, un pH de 8,11 et une humidité résiduelle de 4,83 %. Comme le montre le tableau 5, les poudres contenaient principalement des alcaloïdes, des polyphénols, des flavonoïdes, des </w:t>
      </w:r>
      <w:proofErr w:type="spellStart"/>
      <w:r w:rsidRPr="00CD7B6A">
        <w:rPr>
          <w:rFonts w:ascii="Times New Roman" w:eastAsia="Times New Roman" w:hAnsi="Times New Roman" w:cs="Times New Roman"/>
          <w:sz w:val="20"/>
          <w:szCs w:val="20"/>
          <w:lang w:val="fr-FR"/>
        </w:rPr>
        <w:t>terpénoïdes</w:t>
      </w:r>
      <w:proofErr w:type="spellEnd"/>
      <w:r w:rsidRPr="00CD7B6A">
        <w:rPr>
          <w:rFonts w:ascii="Times New Roman" w:eastAsia="Times New Roman" w:hAnsi="Times New Roman" w:cs="Times New Roman"/>
          <w:sz w:val="20"/>
          <w:szCs w:val="20"/>
          <w:lang w:val="fr-FR"/>
        </w:rPr>
        <w:t>, des glucosides et les anthocyanes, les saponines étaient absentes.</w:t>
      </w:r>
    </w:p>
    <w:p w:rsidR="002C1C73" w:rsidRPr="00CD7B6A" w:rsidRDefault="002C1C73" w:rsidP="002C1C73">
      <w:pPr>
        <w:spacing w:line="360" w:lineRule="auto"/>
        <w:ind w:firstLine="708"/>
        <w:jc w:val="both"/>
        <w:rPr>
          <w:rFonts w:ascii="Times New Roman" w:eastAsia="Times New Roman" w:hAnsi="Times New Roman" w:cs="Times New Roman"/>
          <w:i/>
          <w:sz w:val="20"/>
          <w:szCs w:val="20"/>
          <w:lang w:val="fr-FR"/>
        </w:rPr>
      </w:pPr>
      <w:r w:rsidRPr="00CD7B6A">
        <w:rPr>
          <w:rFonts w:ascii="Times New Roman" w:eastAsia="Times New Roman" w:hAnsi="Times New Roman" w:cs="Times New Roman"/>
          <w:bCs/>
          <w:i/>
          <w:sz w:val="20"/>
          <w:szCs w:val="20"/>
          <w:lang w:val="fr-FR"/>
        </w:rPr>
        <w:t xml:space="preserve">Tableau 5 : </w:t>
      </w:r>
      <w:r w:rsidRPr="00CD7B6A">
        <w:rPr>
          <w:rFonts w:ascii="Times New Roman" w:eastAsia="Times New Roman" w:hAnsi="Times New Roman" w:cs="Times New Roman"/>
          <w:i/>
          <w:sz w:val="20"/>
          <w:szCs w:val="20"/>
          <w:lang w:val="fr-FR"/>
        </w:rPr>
        <w:t xml:space="preserve">Composition </w:t>
      </w:r>
      <w:proofErr w:type="spellStart"/>
      <w:r w:rsidRPr="00CD7B6A">
        <w:rPr>
          <w:rFonts w:ascii="Times New Roman" w:eastAsia="Times New Roman" w:hAnsi="Times New Roman" w:cs="Times New Roman"/>
          <w:i/>
          <w:sz w:val="20"/>
          <w:szCs w:val="20"/>
          <w:lang w:val="fr-FR"/>
        </w:rPr>
        <w:t>phytochimique</w:t>
      </w:r>
      <w:proofErr w:type="spellEnd"/>
      <w:r w:rsidRPr="00CD7B6A">
        <w:rPr>
          <w:rFonts w:ascii="Times New Roman" w:eastAsia="Times New Roman" w:hAnsi="Times New Roman" w:cs="Times New Roman"/>
          <w:i/>
          <w:sz w:val="20"/>
          <w:szCs w:val="20"/>
          <w:lang w:val="fr-FR"/>
        </w:rPr>
        <w:t xml:space="preserve"> des poudres</w:t>
      </w:r>
    </w:p>
    <w:tbl>
      <w:tblPr>
        <w:tblStyle w:val="Grilledutableau"/>
        <w:tblW w:w="0" w:type="auto"/>
        <w:tblLook w:val="04A0" w:firstRow="1" w:lastRow="0" w:firstColumn="1" w:lastColumn="0" w:noHBand="0" w:noVBand="1"/>
      </w:tblPr>
      <w:tblGrid>
        <w:gridCol w:w="1275"/>
        <w:gridCol w:w="1568"/>
        <w:gridCol w:w="3106"/>
        <w:gridCol w:w="1632"/>
        <w:gridCol w:w="1763"/>
      </w:tblGrid>
      <w:tr w:rsidR="002C1C73" w:rsidRPr="00CD7B6A" w:rsidTr="002C1C73">
        <w:trPr>
          <w:trHeight w:val="125"/>
        </w:trPr>
        <w:tc>
          <w:tcPr>
            <w:tcW w:w="2843" w:type="dxa"/>
            <w:gridSpan w:val="2"/>
            <w:vMerge w:val="restart"/>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Familles de composés</w:t>
            </w:r>
          </w:p>
        </w:tc>
        <w:tc>
          <w:tcPr>
            <w:tcW w:w="3106" w:type="dxa"/>
            <w:vMerge w:val="restart"/>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Réactifs / test</w:t>
            </w:r>
          </w:p>
        </w:tc>
        <w:tc>
          <w:tcPr>
            <w:tcW w:w="3395" w:type="dxa"/>
            <w:gridSpan w:val="2"/>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Résultat</w:t>
            </w:r>
          </w:p>
        </w:tc>
      </w:tr>
      <w:tr w:rsidR="002C1C73" w:rsidRPr="00CD7B6A" w:rsidTr="002C1C73">
        <w:trPr>
          <w:trHeight w:val="86"/>
        </w:trPr>
        <w:tc>
          <w:tcPr>
            <w:tcW w:w="2843" w:type="dxa"/>
            <w:gridSpan w:val="2"/>
            <w:vMerge/>
            <w:vAlign w:val="center"/>
          </w:tcPr>
          <w:p w:rsidR="002C1C73" w:rsidRPr="00CD7B6A" w:rsidRDefault="002C1C73" w:rsidP="002C1C73">
            <w:pPr>
              <w:spacing w:before="80" w:after="80"/>
              <w:jc w:val="center"/>
              <w:rPr>
                <w:rFonts w:ascii="Times New Roman" w:eastAsia="Calibri" w:hAnsi="Times New Roman" w:cs="Times New Roman"/>
                <w:bCs/>
                <w:sz w:val="20"/>
                <w:szCs w:val="20"/>
              </w:rPr>
            </w:pPr>
          </w:p>
        </w:tc>
        <w:tc>
          <w:tcPr>
            <w:tcW w:w="3106" w:type="dxa"/>
            <w:vMerge/>
            <w:vAlign w:val="center"/>
          </w:tcPr>
          <w:p w:rsidR="002C1C73" w:rsidRPr="00CD7B6A" w:rsidRDefault="002C1C73" w:rsidP="002C1C73">
            <w:pPr>
              <w:spacing w:before="80" w:after="80"/>
              <w:jc w:val="center"/>
              <w:rPr>
                <w:rFonts w:ascii="Times New Roman" w:eastAsia="Calibri" w:hAnsi="Times New Roman" w:cs="Times New Roman"/>
                <w:bCs/>
                <w:sz w:val="20"/>
                <w:szCs w:val="20"/>
              </w:rPr>
            </w:pP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Poudre brute</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Extrait</w:t>
            </w:r>
          </w:p>
        </w:tc>
      </w:tr>
      <w:tr w:rsidR="002C1C73" w:rsidRPr="00CD7B6A" w:rsidTr="002C1C73">
        <w:trPr>
          <w:trHeight w:val="346"/>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 xml:space="preserve">Alcaloïdes </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proofErr w:type="spellStart"/>
            <w:r w:rsidRPr="00CD7B6A">
              <w:rPr>
                <w:rFonts w:ascii="Times New Roman" w:eastAsia="Calibri" w:hAnsi="Times New Roman" w:cs="Times New Roman"/>
                <w:bCs/>
                <w:sz w:val="20"/>
                <w:szCs w:val="20"/>
              </w:rPr>
              <w:t>Draggendorf</w:t>
            </w:r>
            <w:proofErr w:type="spellEnd"/>
            <w:r w:rsidRPr="00CD7B6A">
              <w:rPr>
                <w:rFonts w:ascii="Times New Roman" w:eastAsia="Calibri" w:hAnsi="Times New Roman" w:cs="Times New Roman"/>
                <w:bCs/>
                <w:sz w:val="20"/>
                <w:szCs w:val="20"/>
              </w:rPr>
              <w:t xml:space="preserve"> / Meyer</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37"/>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Composés phénoliques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FeCl</w:t>
            </w:r>
            <w:r w:rsidRPr="00CD7B6A">
              <w:rPr>
                <w:rFonts w:ascii="Times New Roman" w:eastAsia="Calibri" w:hAnsi="Times New Roman" w:cs="Times New Roman"/>
                <w:bCs/>
                <w:sz w:val="20"/>
                <w:szCs w:val="20"/>
                <w:vertAlign w:val="subscript"/>
              </w:rPr>
              <w:t>3</w:t>
            </w:r>
            <w:r w:rsidRPr="00CD7B6A">
              <w:rPr>
                <w:rFonts w:ascii="Times New Roman" w:eastAsia="Calibri" w:hAnsi="Times New Roman" w:cs="Times New Roman"/>
                <w:bCs/>
                <w:sz w:val="20"/>
                <w:szCs w:val="20"/>
              </w:rPr>
              <w:t xml:space="preserve"> 10%</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01"/>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Flavonoïdes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 xml:space="preserve">Magnésium / </w:t>
            </w:r>
            <w:proofErr w:type="spellStart"/>
            <w:r w:rsidRPr="00CD7B6A">
              <w:rPr>
                <w:rFonts w:ascii="Times New Roman" w:eastAsia="Calibri" w:hAnsi="Times New Roman" w:cs="Times New Roman"/>
                <w:bCs/>
                <w:sz w:val="20"/>
                <w:szCs w:val="20"/>
              </w:rPr>
              <w:t>HCl</w:t>
            </w:r>
            <w:proofErr w:type="spellEnd"/>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07"/>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proofErr w:type="spellStart"/>
            <w:r w:rsidRPr="00CD7B6A">
              <w:rPr>
                <w:rFonts w:ascii="Times New Roman" w:eastAsia="Calibri" w:hAnsi="Times New Roman" w:cs="Times New Roman"/>
                <w:sz w:val="20"/>
                <w:szCs w:val="20"/>
              </w:rPr>
              <w:t>Terpénoïdes</w:t>
            </w:r>
            <w:proofErr w:type="spellEnd"/>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CH</w:t>
            </w:r>
            <w:r w:rsidRPr="00CD7B6A">
              <w:rPr>
                <w:rFonts w:ascii="Times New Roman" w:eastAsia="Calibri" w:hAnsi="Times New Roman" w:cs="Times New Roman"/>
                <w:bCs/>
                <w:sz w:val="20"/>
                <w:szCs w:val="20"/>
                <w:vertAlign w:val="subscript"/>
              </w:rPr>
              <w:t>2</w:t>
            </w:r>
            <w:r w:rsidRPr="00CD7B6A">
              <w:rPr>
                <w:rFonts w:ascii="Times New Roman" w:eastAsia="Calibri" w:hAnsi="Times New Roman" w:cs="Times New Roman"/>
                <w:bCs/>
                <w:sz w:val="20"/>
                <w:szCs w:val="20"/>
              </w:rPr>
              <w:t>Cl</w:t>
            </w:r>
            <w:r w:rsidRPr="00CD7B6A">
              <w:rPr>
                <w:rFonts w:ascii="Times New Roman" w:eastAsia="Calibri" w:hAnsi="Times New Roman" w:cs="Times New Roman"/>
                <w:b/>
                <w:bCs/>
                <w:sz w:val="20"/>
                <w:szCs w:val="20"/>
                <w:vertAlign w:val="subscript"/>
              </w:rPr>
              <w:t>2</w:t>
            </w:r>
            <w:r w:rsidRPr="00CD7B6A">
              <w:rPr>
                <w:rFonts w:ascii="Times New Roman" w:eastAsia="Calibri" w:hAnsi="Times New Roman" w:cs="Times New Roman"/>
                <w:bCs/>
                <w:sz w:val="20"/>
                <w:szCs w:val="20"/>
              </w:rPr>
              <w:t xml:space="preserve"> / H</w:t>
            </w:r>
            <w:r w:rsidRPr="00CD7B6A">
              <w:rPr>
                <w:rFonts w:ascii="Times New Roman" w:eastAsia="Calibri" w:hAnsi="Times New Roman" w:cs="Times New Roman"/>
                <w:b/>
                <w:bCs/>
                <w:sz w:val="20"/>
                <w:szCs w:val="20"/>
                <w:vertAlign w:val="subscript"/>
              </w:rPr>
              <w:t>2</w:t>
            </w:r>
            <w:r w:rsidRPr="00CD7B6A">
              <w:rPr>
                <w:rFonts w:ascii="Times New Roman" w:eastAsia="Calibri" w:hAnsi="Times New Roman" w:cs="Times New Roman"/>
                <w:bCs/>
                <w:sz w:val="20"/>
                <w:szCs w:val="20"/>
              </w:rPr>
              <w:t>SO</w:t>
            </w:r>
            <w:r w:rsidRPr="00CD7B6A">
              <w:rPr>
                <w:rFonts w:ascii="Times New Roman" w:eastAsia="Calibri" w:hAnsi="Times New Roman" w:cs="Times New Roman"/>
                <w:b/>
                <w:bCs/>
                <w:sz w:val="20"/>
                <w:szCs w:val="20"/>
                <w:vertAlign w:val="subscript"/>
              </w:rPr>
              <w:t>4</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12"/>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Stérols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CH</w:t>
            </w:r>
            <w:r w:rsidRPr="00CD7B6A">
              <w:rPr>
                <w:rFonts w:ascii="Times New Roman" w:eastAsia="Calibri" w:hAnsi="Times New Roman" w:cs="Times New Roman"/>
                <w:bCs/>
                <w:sz w:val="20"/>
                <w:szCs w:val="20"/>
                <w:vertAlign w:val="subscript"/>
              </w:rPr>
              <w:t>2</w:t>
            </w:r>
            <w:r w:rsidRPr="00CD7B6A">
              <w:rPr>
                <w:rFonts w:ascii="Times New Roman" w:eastAsia="Calibri" w:hAnsi="Times New Roman" w:cs="Times New Roman"/>
                <w:bCs/>
                <w:sz w:val="20"/>
                <w:szCs w:val="20"/>
              </w:rPr>
              <w:t>Cl</w:t>
            </w:r>
            <w:r w:rsidRPr="00CD7B6A">
              <w:rPr>
                <w:rFonts w:ascii="Times New Roman" w:eastAsia="Calibri" w:hAnsi="Times New Roman" w:cs="Times New Roman"/>
                <w:b/>
                <w:bCs/>
                <w:sz w:val="20"/>
                <w:szCs w:val="20"/>
                <w:vertAlign w:val="subscript"/>
              </w:rPr>
              <w:t>2</w:t>
            </w:r>
            <w:r w:rsidRPr="00CD7B6A">
              <w:rPr>
                <w:rFonts w:ascii="Times New Roman" w:eastAsia="Calibri" w:hAnsi="Times New Roman" w:cs="Times New Roman"/>
                <w:bCs/>
                <w:sz w:val="20"/>
                <w:szCs w:val="20"/>
              </w:rPr>
              <w:t xml:space="preserve"> / H</w:t>
            </w:r>
            <w:r w:rsidRPr="00CD7B6A">
              <w:rPr>
                <w:rFonts w:ascii="Times New Roman" w:eastAsia="Calibri" w:hAnsi="Times New Roman" w:cs="Times New Roman"/>
                <w:b/>
                <w:bCs/>
                <w:sz w:val="20"/>
                <w:szCs w:val="20"/>
                <w:vertAlign w:val="subscript"/>
              </w:rPr>
              <w:t>2</w:t>
            </w:r>
            <w:r w:rsidRPr="00CD7B6A">
              <w:rPr>
                <w:rFonts w:ascii="Times New Roman" w:eastAsia="Calibri" w:hAnsi="Times New Roman" w:cs="Times New Roman"/>
                <w:bCs/>
                <w:sz w:val="20"/>
                <w:szCs w:val="20"/>
              </w:rPr>
              <w:t>SO</w:t>
            </w:r>
            <w:r w:rsidRPr="00CD7B6A">
              <w:rPr>
                <w:rFonts w:ascii="Times New Roman" w:eastAsia="Calibri" w:hAnsi="Times New Roman" w:cs="Times New Roman"/>
                <w:b/>
                <w:bCs/>
                <w:sz w:val="20"/>
                <w:szCs w:val="20"/>
                <w:vertAlign w:val="subscript"/>
              </w:rPr>
              <w:t>4</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33"/>
        </w:trPr>
        <w:tc>
          <w:tcPr>
            <w:tcW w:w="1275" w:type="dxa"/>
            <w:vMerge w:val="restart"/>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Tanins</w:t>
            </w:r>
          </w:p>
        </w:tc>
        <w:tc>
          <w:tcPr>
            <w:tcW w:w="1568" w:type="dxa"/>
            <w:vAlign w:val="center"/>
          </w:tcPr>
          <w:p w:rsidR="002C1C73" w:rsidRPr="00CD7B6A" w:rsidRDefault="002C1C73" w:rsidP="002C1C73">
            <w:pPr>
              <w:spacing w:before="80" w:after="80"/>
              <w:rPr>
                <w:rFonts w:ascii="Times New Roman" w:eastAsia="Calibri" w:hAnsi="Times New Roman" w:cs="Times New Roman"/>
                <w:sz w:val="20"/>
                <w:szCs w:val="20"/>
              </w:rPr>
            </w:pPr>
            <w:proofErr w:type="spellStart"/>
            <w:r w:rsidRPr="00CD7B6A">
              <w:rPr>
                <w:rFonts w:ascii="Times New Roman" w:eastAsia="Calibri" w:hAnsi="Times New Roman" w:cs="Times New Roman"/>
                <w:sz w:val="20"/>
                <w:szCs w:val="20"/>
              </w:rPr>
              <w:t>Catéchiques</w:t>
            </w:r>
            <w:proofErr w:type="spellEnd"/>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 xml:space="preserve">Réactif de </w:t>
            </w:r>
            <w:proofErr w:type="spellStart"/>
            <w:r w:rsidRPr="00CD7B6A">
              <w:rPr>
                <w:rFonts w:ascii="Times New Roman" w:eastAsia="Calibri" w:hAnsi="Times New Roman" w:cs="Times New Roman"/>
                <w:bCs/>
                <w:sz w:val="20"/>
                <w:szCs w:val="20"/>
              </w:rPr>
              <w:t>Stiasny</w:t>
            </w:r>
            <w:proofErr w:type="spellEnd"/>
            <w:r w:rsidRPr="00CD7B6A">
              <w:rPr>
                <w:rFonts w:ascii="Times New Roman" w:eastAsia="Calibri" w:hAnsi="Times New Roman" w:cs="Times New Roman"/>
                <w:bCs/>
                <w:sz w:val="20"/>
                <w:szCs w:val="20"/>
              </w:rPr>
              <w:t xml:space="preserve"> / FeO</w:t>
            </w:r>
            <w:r w:rsidRPr="00CD7B6A">
              <w:rPr>
                <w:rFonts w:ascii="Times New Roman" w:eastAsia="Calibri" w:hAnsi="Times New Roman" w:cs="Times New Roman"/>
                <w:b/>
                <w:bCs/>
                <w:sz w:val="20"/>
                <w:szCs w:val="20"/>
                <w:vertAlign w:val="subscript"/>
              </w:rPr>
              <w:t>3</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11"/>
        </w:trPr>
        <w:tc>
          <w:tcPr>
            <w:tcW w:w="1275" w:type="dxa"/>
            <w:vMerge/>
            <w:vAlign w:val="center"/>
          </w:tcPr>
          <w:p w:rsidR="002C1C73" w:rsidRPr="00CD7B6A" w:rsidRDefault="002C1C73" w:rsidP="002C1C73">
            <w:pPr>
              <w:spacing w:before="80" w:after="80"/>
              <w:rPr>
                <w:rFonts w:ascii="Times New Roman" w:eastAsia="Calibri" w:hAnsi="Times New Roman" w:cs="Times New Roman"/>
                <w:sz w:val="20"/>
                <w:szCs w:val="20"/>
              </w:rPr>
            </w:pPr>
          </w:p>
        </w:tc>
        <w:tc>
          <w:tcPr>
            <w:tcW w:w="1568" w:type="dxa"/>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Galliques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 xml:space="preserve">Réactif de </w:t>
            </w:r>
            <w:proofErr w:type="spellStart"/>
            <w:r w:rsidRPr="00CD7B6A">
              <w:rPr>
                <w:rFonts w:ascii="Times New Roman" w:eastAsia="Calibri" w:hAnsi="Times New Roman" w:cs="Times New Roman"/>
                <w:bCs/>
                <w:sz w:val="20"/>
                <w:szCs w:val="20"/>
              </w:rPr>
              <w:t>Stiasny</w:t>
            </w:r>
            <w:proofErr w:type="spellEnd"/>
            <w:r w:rsidRPr="00CD7B6A">
              <w:rPr>
                <w:rFonts w:ascii="Times New Roman" w:eastAsia="Calibri" w:hAnsi="Times New Roman" w:cs="Times New Roman"/>
                <w:bCs/>
                <w:sz w:val="20"/>
                <w:szCs w:val="20"/>
              </w:rPr>
              <w:t xml:space="preserve"> / FeO</w:t>
            </w:r>
            <w:r w:rsidRPr="00CD7B6A">
              <w:rPr>
                <w:rFonts w:ascii="Times New Roman" w:eastAsia="Calibri" w:hAnsi="Times New Roman" w:cs="Times New Roman"/>
                <w:b/>
                <w:bCs/>
                <w:sz w:val="20"/>
                <w:szCs w:val="20"/>
                <w:vertAlign w:val="subscript"/>
              </w:rPr>
              <w:t>3</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03"/>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Glucosides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Acide Acetique,FeCl</w:t>
            </w:r>
            <w:r w:rsidRPr="00CD7B6A">
              <w:rPr>
                <w:rFonts w:ascii="Times New Roman" w:eastAsia="Calibri" w:hAnsi="Times New Roman" w:cs="Times New Roman"/>
                <w:b/>
                <w:bCs/>
                <w:sz w:val="20"/>
                <w:szCs w:val="20"/>
                <w:vertAlign w:val="subscript"/>
              </w:rPr>
              <w:t>3</w:t>
            </w:r>
            <w:r w:rsidRPr="00CD7B6A">
              <w:rPr>
                <w:rFonts w:ascii="Times New Roman" w:eastAsia="Calibri" w:hAnsi="Times New Roman" w:cs="Times New Roman"/>
                <w:bCs/>
                <w:sz w:val="20"/>
                <w:szCs w:val="20"/>
              </w:rPr>
              <w:t>,H</w:t>
            </w:r>
            <w:r w:rsidRPr="00CD7B6A">
              <w:rPr>
                <w:rFonts w:ascii="Times New Roman" w:eastAsia="Calibri" w:hAnsi="Times New Roman" w:cs="Times New Roman"/>
                <w:b/>
                <w:bCs/>
                <w:sz w:val="20"/>
                <w:szCs w:val="20"/>
                <w:vertAlign w:val="subscript"/>
              </w:rPr>
              <w:t>2</w:t>
            </w:r>
            <w:r w:rsidRPr="00CD7B6A">
              <w:rPr>
                <w:rFonts w:ascii="Times New Roman" w:eastAsia="Calibri" w:hAnsi="Times New Roman" w:cs="Times New Roman"/>
                <w:bCs/>
                <w:sz w:val="20"/>
                <w:szCs w:val="20"/>
              </w:rPr>
              <w:t>SO</w:t>
            </w:r>
            <w:r w:rsidRPr="00CD7B6A">
              <w:rPr>
                <w:rFonts w:ascii="Times New Roman" w:eastAsia="Calibri" w:hAnsi="Times New Roman" w:cs="Times New Roman"/>
                <w:b/>
                <w:bCs/>
                <w:sz w:val="20"/>
                <w:szCs w:val="20"/>
                <w:vertAlign w:val="subscript"/>
              </w:rPr>
              <w:t>4</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37"/>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Anthraquinones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NH</w:t>
            </w:r>
            <w:r w:rsidRPr="00CD7B6A">
              <w:rPr>
                <w:rFonts w:ascii="Times New Roman" w:eastAsia="Calibri" w:hAnsi="Times New Roman" w:cs="Times New Roman"/>
                <w:b/>
                <w:bCs/>
                <w:sz w:val="20"/>
                <w:szCs w:val="20"/>
                <w:vertAlign w:val="subscript"/>
              </w:rPr>
              <w:t>4</w:t>
            </w:r>
            <w:r w:rsidRPr="00CD7B6A">
              <w:rPr>
                <w:rFonts w:ascii="Times New Roman" w:eastAsia="Calibri" w:hAnsi="Times New Roman" w:cs="Times New Roman"/>
                <w:bCs/>
                <w:sz w:val="20"/>
                <w:szCs w:val="20"/>
              </w:rPr>
              <w:t>OH 10%</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01"/>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Coumarines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KOH 10%</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07"/>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Anthocyanes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H</w:t>
            </w:r>
            <w:r w:rsidRPr="00CD7B6A">
              <w:rPr>
                <w:rFonts w:ascii="Times New Roman" w:eastAsia="Calibri" w:hAnsi="Times New Roman" w:cs="Times New Roman"/>
                <w:b/>
                <w:bCs/>
                <w:sz w:val="20"/>
                <w:szCs w:val="20"/>
                <w:vertAlign w:val="subscript"/>
              </w:rPr>
              <w:t>2</w:t>
            </w:r>
            <w:r w:rsidRPr="00CD7B6A">
              <w:rPr>
                <w:rFonts w:ascii="Times New Roman" w:eastAsia="Calibri" w:hAnsi="Times New Roman" w:cs="Times New Roman"/>
                <w:bCs/>
                <w:sz w:val="20"/>
                <w:szCs w:val="20"/>
              </w:rPr>
              <w:t>SO</w:t>
            </w:r>
            <w:r w:rsidRPr="00CD7B6A">
              <w:rPr>
                <w:rFonts w:ascii="Times New Roman" w:eastAsia="Calibri" w:hAnsi="Times New Roman" w:cs="Times New Roman"/>
                <w:b/>
                <w:bCs/>
                <w:sz w:val="20"/>
                <w:szCs w:val="20"/>
                <w:vertAlign w:val="subscript"/>
              </w:rPr>
              <w:t>4</w:t>
            </w:r>
            <w:r w:rsidRPr="00CD7B6A">
              <w:rPr>
                <w:rFonts w:ascii="Times New Roman" w:eastAsia="Calibri" w:hAnsi="Times New Roman" w:cs="Times New Roman"/>
                <w:bCs/>
                <w:sz w:val="20"/>
                <w:szCs w:val="20"/>
              </w:rPr>
              <w:t xml:space="preserve"> et NH</w:t>
            </w:r>
            <w:r w:rsidRPr="00CD7B6A">
              <w:rPr>
                <w:rFonts w:ascii="Times New Roman" w:eastAsia="Calibri" w:hAnsi="Times New Roman" w:cs="Times New Roman"/>
                <w:b/>
                <w:bCs/>
                <w:sz w:val="20"/>
                <w:szCs w:val="20"/>
                <w:vertAlign w:val="subscript"/>
              </w:rPr>
              <w:t>4</w:t>
            </w:r>
            <w:r w:rsidRPr="00CD7B6A">
              <w:rPr>
                <w:rFonts w:ascii="Times New Roman" w:eastAsia="Calibri" w:hAnsi="Times New Roman" w:cs="Times New Roman"/>
                <w:bCs/>
                <w:sz w:val="20"/>
                <w:szCs w:val="20"/>
              </w:rPr>
              <w:t>OH</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r w:rsidR="002C1C73" w:rsidRPr="00CD7B6A" w:rsidTr="002C1C73">
        <w:trPr>
          <w:trHeight w:val="426"/>
        </w:trPr>
        <w:tc>
          <w:tcPr>
            <w:tcW w:w="2843" w:type="dxa"/>
            <w:gridSpan w:val="2"/>
            <w:vAlign w:val="center"/>
          </w:tcPr>
          <w:p w:rsidR="002C1C73" w:rsidRPr="00CD7B6A" w:rsidRDefault="002C1C73" w:rsidP="002C1C73">
            <w:pPr>
              <w:spacing w:before="80" w:after="80"/>
              <w:rPr>
                <w:rFonts w:ascii="Times New Roman" w:eastAsia="Calibri" w:hAnsi="Times New Roman" w:cs="Times New Roman"/>
                <w:sz w:val="20"/>
                <w:szCs w:val="20"/>
              </w:rPr>
            </w:pPr>
            <w:r w:rsidRPr="00CD7B6A">
              <w:rPr>
                <w:rFonts w:ascii="Times New Roman" w:eastAsia="Calibri" w:hAnsi="Times New Roman" w:cs="Times New Roman"/>
                <w:sz w:val="20"/>
                <w:szCs w:val="20"/>
              </w:rPr>
              <w:t>Saponines</w:t>
            </w:r>
          </w:p>
        </w:tc>
        <w:tc>
          <w:tcPr>
            <w:tcW w:w="3106" w:type="dxa"/>
            <w:vAlign w:val="center"/>
          </w:tcPr>
          <w:p w:rsidR="002C1C73" w:rsidRPr="00CD7B6A" w:rsidRDefault="002C1C73" w:rsidP="002C1C73">
            <w:pPr>
              <w:spacing w:before="80" w:after="80"/>
              <w:jc w:val="center"/>
              <w:rPr>
                <w:rFonts w:ascii="Times New Roman" w:eastAsia="Calibri" w:hAnsi="Times New Roman" w:cs="Times New Roman"/>
                <w:bCs/>
                <w:sz w:val="20"/>
                <w:szCs w:val="20"/>
              </w:rPr>
            </w:pPr>
            <w:r w:rsidRPr="00CD7B6A">
              <w:rPr>
                <w:rFonts w:ascii="Times New Roman" w:eastAsia="Calibri" w:hAnsi="Times New Roman" w:cs="Times New Roman"/>
                <w:bCs/>
                <w:sz w:val="20"/>
                <w:szCs w:val="20"/>
              </w:rPr>
              <w:t>Indice de mousse &gt;1cm</w:t>
            </w:r>
          </w:p>
        </w:tc>
        <w:tc>
          <w:tcPr>
            <w:tcW w:w="1632"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c>
          <w:tcPr>
            <w:tcW w:w="1763" w:type="dxa"/>
            <w:vAlign w:val="center"/>
          </w:tcPr>
          <w:p w:rsidR="002C1C73" w:rsidRPr="00CD7B6A" w:rsidRDefault="002C1C73" w:rsidP="002C1C73">
            <w:pPr>
              <w:spacing w:before="80" w:after="80"/>
              <w:jc w:val="center"/>
              <w:rPr>
                <w:rFonts w:ascii="Times New Roman" w:eastAsia="Calibri" w:hAnsi="Times New Roman" w:cs="Times New Roman"/>
                <w:b/>
                <w:bCs/>
                <w:sz w:val="20"/>
                <w:szCs w:val="20"/>
              </w:rPr>
            </w:pPr>
            <w:r w:rsidRPr="00CD7B6A">
              <w:rPr>
                <w:rFonts w:ascii="Times New Roman" w:eastAsia="Calibri" w:hAnsi="Times New Roman" w:cs="Times New Roman"/>
                <w:b/>
                <w:bCs/>
                <w:sz w:val="20"/>
                <w:szCs w:val="20"/>
              </w:rPr>
              <w:t>(-)</w:t>
            </w:r>
          </w:p>
        </w:tc>
      </w:tr>
    </w:tbl>
    <w:p w:rsidR="002C1C73" w:rsidRPr="00CD7B6A" w:rsidRDefault="002C1C73" w:rsidP="002C1C73">
      <w:pPr>
        <w:spacing w:line="360" w:lineRule="auto"/>
        <w:jc w:val="center"/>
        <w:rPr>
          <w:rFonts w:ascii="Times New Roman" w:eastAsia="Times New Roman" w:hAnsi="Times New Roman" w:cs="Times New Roman"/>
          <w:i/>
          <w:sz w:val="20"/>
          <w:szCs w:val="20"/>
          <w:lang w:val="fr-FR"/>
        </w:rPr>
      </w:pPr>
      <w:r w:rsidRPr="00CD7B6A">
        <w:rPr>
          <w:rFonts w:ascii="Times New Roman" w:eastAsia="Times New Roman" w:hAnsi="Times New Roman" w:cs="Times New Roman"/>
          <w:sz w:val="20"/>
          <w:szCs w:val="20"/>
          <w:lang w:val="fr-FR"/>
        </w:rPr>
        <w:lastRenderedPageBreak/>
        <w:t xml:space="preserve">(+) </w:t>
      </w:r>
      <w:r w:rsidRPr="00CD7B6A">
        <w:rPr>
          <w:rFonts w:ascii="Times New Roman" w:eastAsia="Times New Roman" w:hAnsi="Times New Roman" w:cs="Times New Roman"/>
          <w:i/>
          <w:sz w:val="20"/>
          <w:szCs w:val="20"/>
          <w:lang w:val="fr-FR"/>
        </w:rPr>
        <w:t>: présence du métabolite secondaire</w:t>
      </w:r>
      <w:r w:rsidRPr="00CD7B6A">
        <w:rPr>
          <w:rFonts w:ascii="Times New Roman" w:eastAsia="Times New Roman" w:hAnsi="Times New Roman" w:cs="Times New Roman"/>
          <w:sz w:val="20"/>
          <w:szCs w:val="20"/>
          <w:lang w:val="fr-FR"/>
        </w:rPr>
        <w:t xml:space="preserve">, (-) : </w:t>
      </w:r>
      <w:r w:rsidRPr="00CD7B6A">
        <w:rPr>
          <w:rFonts w:ascii="Times New Roman" w:eastAsia="Times New Roman" w:hAnsi="Times New Roman" w:cs="Times New Roman"/>
          <w:i/>
          <w:sz w:val="20"/>
          <w:szCs w:val="20"/>
          <w:lang w:val="fr-FR"/>
        </w:rPr>
        <w:t>absence du métabolite secondaire</w:t>
      </w:r>
    </w:p>
    <w:p w:rsidR="002C1C73" w:rsidRPr="00D87D7B" w:rsidRDefault="002C1C73" w:rsidP="002C1C73">
      <w:pPr>
        <w:spacing w:line="360" w:lineRule="auto"/>
        <w:jc w:val="center"/>
        <w:rPr>
          <w:rFonts w:ascii="Times New Roman" w:eastAsia="Times New Roman" w:hAnsi="Times New Roman" w:cs="Times New Roman"/>
          <w:sz w:val="18"/>
          <w:szCs w:val="16"/>
          <w:lang w:val="fr-FR"/>
        </w:rPr>
      </w:pPr>
    </w:p>
    <w:p w:rsidR="002C1C73" w:rsidRPr="00CD7B6A" w:rsidRDefault="002C1C73" w:rsidP="002C1C73">
      <w:pPr>
        <w:spacing w:line="360" w:lineRule="auto"/>
        <w:jc w:val="center"/>
        <w:rPr>
          <w:rFonts w:ascii="Times New Roman" w:eastAsia="Times New Roman" w:hAnsi="Times New Roman" w:cs="Times New Roman"/>
          <w:sz w:val="20"/>
          <w:szCs w:val="20"/>
          <w:lang w:val="fr-FR"/>
        </w:rPr>
      </w:pPr>
      <w:r w:rsidRPr="00CD7B6A">
        <w:rPr>
          <w:rFonts w:ascii="Calibri" w:eastAsia="Calibri" w:hAnsi="Calibri" w:cs="Times New Roman"/>
          <w:noProof/>
          <w:sz w:val="20"/>
          <w:szCs w:val="20"/>
        </w:rPr>
        <w:drawing>
          <wp:inline distT="0" distB="0" distL="0" distR="0" wp14:anchorId="381EB644" wp14:editId="0D4327A5">
            <wp:extent cx="5487670" cy="3528391"/>
            <wp:effectExtent l="0" t="0" r="17780" b="15240"/>
            <wp:docPr id="2" name="Graphique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1C73" w:rsidRPr="00CD7B6A" w:rsidRDefault="002C1C73" w:rsidP="002C1C73">
      <w:pPr>
        <w:spacing w:line="360" w:lineRule="auto"/>
        <w:jc w:val="center"/>
        <w:rPr>
          <w:rFonts w:ascii="Times New Roman" w:eastAsia="Times New Roman" w:hAnsi="Times New Roman" w:cs="Times New Roman"/>
          <w:iCs/>
          <w:sz w:val="20"/>
          <w:szCs w:val="20"/>
          <w:lang w:val="fr-FR"/>
        </w:rPr>
      </w:pPr>
      <w:r w:rsidRPr="00CD7B6A">
        <w:rPr>
          <w:rFonts w:ascii="Times New Roman" w:eastAsia="Times New Roman" w:hAnsi="Times New Roman" w:cs="Times New Roman"/>
          <w:b/>
          <w:iCs/>
          <w:sz w:val="20"/>
          <w:szCs w:val="20"/>
          <w:lang w:val="fr-FR"/>
        </w:rPr>
        <w:t>µg :</w:t>
      </w:r>
      <w:r w:rsidRPr="00CD7B6A">
        <w:rPr>
          <w:rFonts w:ascii="Times New Roman" w:eastAsia="Times New Roman" w:hAnsi="Times New Roman" w:cs="Times New Roman"/>
          <w:iCs/>
          <w:sz w:val="20"/>
          <w:szCs w:val="20"/>
          <w:lang w:val="fr-FR"/>
        </w:rPr>
        <w:t xml:space="preserve"> Microgramme ; </w:t>
      </w:r>
      <w:r w:rsidRPr="00CD7B6A">
        <w:rPr>
          <w:rFonts w:ascii="Times New Roman" w:eastAsia="Times New Roman" w:hAnsi="Times New Roman" w:cs="Times New Roman"/>
          <w:b/>
          <w:iCs/>
          <w:sz w:val="20"/>
          <w:szCs w:val="20"/>
          <w:lang w:val="fr-FR"/>
        </w:rPr>
        <w:t>ml :</w:t>
      </w:r>
      <w:r w:rsidRPr="00CD7B6A">
        <w:rPr>
          <w:rFonts w:ascii="Times New Roman" w:eastAsia="Times New Roman" w:hAnsi="Times New Roman" w:cs="Times New Roman"/>
          <w:iCs/>
          <w:sz w:val="20"/>
          <w:szCs w:val="20"/>
          <w:lang w:val="fr-FR"/>
        </w:rPr>
        <w:t xml:space="preserve"> Millilitre.</w:t>
      </w:r>
    </w:p>
    <w:p w:rsidR="002C1C73" w:rsidRPr="00CD7B6A" w:rsidRDefault="002C1C73" w:rsidP="002C1C73">
      <w:pPr>
        <w:spacing w:line="360" w:lineRule="auto"/>
        <w:jc w:val="center"/>
        <w:rPr>
          <w:rFonts w:ascii="Times New Roman" w:eastAsia="Times New Roman" w:hAnsi="Times New Roman" w:cs="Times New Roman"/>
          <w:i/>
          <w:sz w:val="20"/>
          <w:szCs w:val="20"/>
          <w:lang w:val="fr-FR"/>
        </w:rPr>
      </w:pPr>
      <w:r w:rsidRPr="00CD7B6A">
        <w:rPr>
          <w:rFonts w:ascii="Times New Roman" w:eastAsia="Times New Roman" w:hAnsi="Times New Roman" w:cs="Times New Roman"/>
          <w:i/>
          <w:sz w:val="20"/>
          <w:szCs w:val="20"/>
          <w:lang w:val="fr-FR"/>
        </w:rPr>
        <w:t>Figure 1 : Droite d’étalonnage de l’acide gallique</w:t>
      </w:r>
    </w:p>
    <w:p w:rsidR="002C1C73" w:rsidRPr="00D87D7B" w:rsidRDefault="002C1C73" w:rsidP="002C1C73">
      <w:pPr>
        <w:spacing w:line="360" w:lineRule="auto"/>
        <w:jc w:val="center"/>
        <w:rPr>
          <w:rFonts w:ascii="Times New Roman" w:eastAsia="Times New Roman" w:hAnsi="Times New Roman" w:cs="Times New Roman"/>
          <w:sz w:val="18"/>
          <w:szCs w:val="16"/>
          <w:lang w:val="fr-FR"/>
        </w:rPr>
      </w:pPr>
    </w:p>
    <w:p w:rsidR="002C1C73" w:rsidRPr="00CD7B6A" w:rsidRDefault="002C1C73" w:rsidP="002C1C73">
      <w:pPr>
        <w:spacing w:line="360" w:lineRule="auto"/>
        <w:ind w:firstLine="708"/>
        <w:jc w:val="both"/>
        <w:rPr>
          <w:rFonts w:ascii="Times New Roman" w:eastAsia="Calibri" w:hAnsi="Times New Roman" w:cs="Times New Roman"/>
          <w:sz w:val="20"/>
          <w:szCs w:val="20"/>
          <w:lang w:val="fr-FR"/>
        </w:rPr>
      </w:pPr>
      <w:r w:rsidRPr="00CD7B6A">
        <w:rPr>
          <w:rFonts w:ascii="Times New Roman" w:eastAsia="Times New Roman" w:hAnsi="Times New Roman" w:cs="Times New Roman"/>
          <w:sz w:val="20"/>
          <w:szCs w:val="20"/>
          <w:lang w:val="fr-FR"/>
        </w:rPr>
        <w:t xml:space="preserve">La droite d’étalonnage de l’acide gallique (figure1) a permis d’établir que la poudre d’extrait aqueux titre 62,33mg EAG par gramme alors que 1g de poudre brute contient 74,47 </w:t>
      </w:r>
      <w:proofErr w:type="gramStart"/>
      <w:r w:rsidRPr="00CD7B6A">
        <w:rPr>
          <w:rFonts w:ascii="Times New Roman" w:eastAsia="Calibri" w:hAnsi="Times New Roman" w:cs="Times New Roman"/>
          <w:sz w:val="20"/>
          <w:szCs w:val="20"/>
          <w:lang w:val="fr-FR"/>
        </w:rPr>
        <w:t>±</w:t>
      </w:r>
      <w:r w:rsidRPr="00CD7B6A">
        <w:rPr>
          <w:rFonts w:ascii="Times New Roman" w:eastAsia="Times New Roman" w:hAnsi="Times New Roman" w:cs="Times New Roman"/>
          <w:sz w:val="20"/>
          <w:szCs w:val="20"/>
          <w:lang w:val="fr-FR"/>
        </w:rPr>
        <w:t xml:space="preserve">  2</w:t>
      </w:r>
      <w:proofErr w:type="gramEnd"/>
      <w:r w:rsidRPr="00CD7B6A">
        <w:rPr>
          <w:rFonts w:ascii="Times New Roman" w:eastAsia="Times New Roman" w:hAnsi="Times New Roman" w:cs="Times New Roman"/>
          <w:sz w:val="20"/>
          <w:szCs w:val="20"/>
          <w:lang w:val="fr-FR"/>
        </w:rPr>
        <w:t>,38mg E</w:t>
      </w:r>
      <w:r w:rsidR="00E804F1">
        <w:rPr>
          <w:rFonts w:ascii="Times New Roman" w:eastAsia="Times New Roman" w:hAnsi="Times New Roman" w:cs="Times New Roman"/>
          <w:sz w:val="20"/>
          <w:szCs w:val="20"/>
          <w:lang w:val="fr-FR"/>
        </w:rPr>
        <w:t xml:space="preserve">quivalent </w:t>
      </w:r>
      <w:r w:rsidRPr="00CD7B6A">
        <w:rPr>
          <w:rFonts w:ascii="Times New Roman" w:eastAsia="Times New Roman" w:hAnsi="Times New Roman" w:cs="Times New Roman"/>
          <w:sz w:val="20"/>
          <w:szCs w:val="20"/>
          <w:lang w:val="fr-FR"/>
        </w:rPr>
        <w:t>A</w:t>
      </w:r>
      <w:r w:rsidR="00E804F1">
        <w:rPr>
          <w:rFonts w:ascii="Times New Roman" w:eastAsia="Times New Roman" w:hAnsi="Times New Roman" w:cs="Times New Roman"/>
          <w:sz w:val="20"/>
          <w:szCs w:val="20"/>
          <w:lang w:val="fr-FR"/>
        </w:rPr>
        <w:t xml:space="preserve">cide </w:t>
      </w:r>
      <w:proofErr w:type="spellStart"/>
      <w:r w:rsidRPr="00CD7B6A">
        <w:rPr>
          <w:rFonts w:ascii="Times New Roman" w:eastAsia="Times New Roman" w:hAnsi="Times New Roman" w:cs="Times New Roman"/>
          <w:sz w:val="20"/>
          <w:szCs w:val="20"/>
          <w:lang w:val="fr-FR"/>
        </w:rPr>
        <w:t>G</w:t>
      </w:r>
      <w:r w:rsidR="00E804F1">
        <w:rPr>
          <w:rFonts w:ascii="Times New Roman" w:eastAsia="Times New Roman" w:hAnsi="Times New Roman" w:cs="Times New Roman"/>
          <w:sz w:val="20"/>
          <w:szCs w:val="20"/>
          <w:lang w:val="fr-FR"/>
        </w:rPr>
        <w:t>gallique</w:t>
      </w:r>
      <w:proofErr w:type="spellEnd"/>
      <w:r w:rsidR="00E804F1">
        <w:rPr>
          <w:rFonts w:ascii="Times New Roman" w:eastAsia="Times New Roman" w:hAnsi="Times New Roman" w:cs="Times New Roman"/>
          <w:sz w:val="20"/>
          <w:szCs w:val="20"/>
          <w:lang w:val="fr-FR"/>
        </w:rPr>
        <w:t xml:space="preserve"> (EAG)</w:t>
      </w:r>
      <w:r w:rsidRPr="00CD7B6A">
        <w:rPr>
          <w:rFonts w:ascii="Times New Roman" w:eastAsia="Times New Roman" w:hAnsi="Times New Roman" w:cs="Times New Roman"/>
          <w:sz w:val="20"/>
          <w:szCs w:val="20"/>
          <w:lang w:val="fr-FR"/>
        </w:rPr>
        <w:t>. Cette bonne teneur en polyphénols et la facilité de préparation de cette poudre ont milité en faveur du choix de la poudre brute pour la confection des gélules.</w:t>
      </w:r>
      <w:r w:rsidR="00E804F1">
        <w:rPr>
          <w:rFonts w:ascii="Times New Roman" w:eastAsia="Times New Roman" w:hAnsi="Times New Roman" w:cs="Times New Roman"/>
          <w:sz w:val="20"/>
          <w:szCs w:val="20"/>
          <w:lang w:val="fr-FR"/>
        </w:rPr>
        <w:t xml:space="preserve"> </w:t>
      </w:r>
      <w:r w:rsidRPr="00CD7B6A">
        <w:rPr>
          <w:rFonts w:ascii="Times New Roman" w:eastAsia="Times New Roman" w:hAnsi="Times New Roman" w:cs="Times New Roman"/>
          <w:sz w:val="20"/>
          <w:szCs w:val="20"/>
          <w:lang w:val="fr-FR"/>
        </w:rPr>
        <w:t>La teneur en polyphénols totaux a été évaluée</w:t>
      </w:r>
      <w:r w:rsidR="00E804F1">
        <w:rPr>
          <w:rFonts w:ascii="Times New Roman" w:eastAsia="Times New Roman" w:hAnsi="Times New Roman" w:cs="Times New Roman"/>
          <w:sz w:val="20"/>
          <w:szCs w:val="20"/>
          <w:lang w:val="fr-FR"/>
        </w:rPr>
        <w:t> ; à</w:t>
      </w:r>
      <w:r w:rsidRPr="00CD7B6A">
        <w:rPr>
          <w:rFonts w:ascii="Times New Roman" w:eastAsia="Times New Roman" w:hAnsi="Times New Roman" w:cs="Times New Roman"/>
          <w:sz w:val="20"/>
          <w:szCs w:val="20"/>
          <w:lang w:val="fr-FR"/>
        </w:rPr>
        <w:t xml:space="preserve"> </w:t>
      </w:r>
      <w:r w:rsidRPr="00CD7B6A">
        <w:rPr>
          <w:rFonts w:ascii="Times New Roman" w:eastAsia="Calibri" w:hAnsi="Times New Roman" w:cs="Times New Roman"/>
          <w:sz w:val="20"/>
          <w:szCs w:val="20"/>
          <w:lang w:val="fr-FR"/>
        </w:rPr>
        <w:t xml:space="preserve">partir de </w:t>
      </w:r>
      <w:r w:rsidR="00E804F1">
        <w:rPr>
          <w:rFonts w:ascii="Times New Roman" w:eastAsia="Calibri" w:hAnsi="Times New Roman" w:cs="Times New Roman"/>
          <w:sz w:val="20"/>
          <w:szCs w:val="20"/>
          <w:lang w:val="fr-FR"/>
        </w:rPr>
        <w:t>la</w:t>
      </w:r>
      <w:r w:rsidRPr="00CD7B6A">
        <w:rPr>
          <w:rFonts w:ascii="Times New Roman" w:eastAsia="Calibri" w:hAnsi="Times New Roman" w:cs="Times New Roman"/>
          <w:sz w:val="20"/>
          <w:szCs w:val="20"/>
          <w:lang w:val="fr-FR"/>
        </w:rPr>
        <w:t xml:space="preserve"> droite d’étalonnage et de la lecture des absorbances des différents échantillons, la teneur </w:t>
      </w:r>
      <w:bookmarkStart w:id="9" w:name="_Hlk175140694"/>
      <w:r w:rsidRPr="00CD7B6A">
        <w:rPr>
          <w:rFonts w:ascii="Times New Roman" w:eastAsia="Calibri" w:hAnsi="Times New Roman" w:cs="Times New Roman"/>
          <w:sz w:val="20"/>
          <w:szCs w:val="20"/>
          <w:lang w:val="fr-FR"/>
        </w:rPr>
        <w:t>moyenne en polyphénols totaux a été déterminée</w:t>
      </w:r>
      <w:r w:rsidR="00E804F1" w:rsidRPr="00E804F1">
        <w:rPr>
          <w:rFonts w:ascii="Times New Roman" w:eastAsia="Calibri" w:hAnsi="Times New Roman" w:cs="Times New Roman"/>
          <w:b/>
          <w:sz w:val="20"/>
          <w:szCs w:val="20"/>
          <w:lang w:val="fr-FR"/>
        </w:rPr>
        <w:t xml:space="preserve"> : </w:t>
      </w:r>
      <w:r w:rsidRPr="00CD7B6A">
        <w:rPr>
          <w:rFonts w:ascii="Times New Roman" w:eastAsia="Calibri" w:hAnsi="Times New Roman" w:cs="Times New Roman"/>
          <w:sz w:val="20"/>
          <w:szCs w:val="20"/>
          <w:lang w:val="fr-FR"/>
        </w:rPr>
        <w:t>62,33 ± 0 mg EAG</w:t>
      </w:r>
      <w:r w:rsidR="00511019">
        <w:rPr>
          <w:rFonts w:ascii="Times New Roman" w:eastAsia="Calibri" w:hAnsi="Times New Roman" w:cs="Times New Roman"/>
          <w:sz w:val="20"/>
          <w:szCs w:val="20"/>
          <w:lang w:val="fr-FR"/>
        </w:rPr>
        <w:t xml:space="preserve"> / g</w:t>
      </w:r>
      <w:r w:rsidRPr="00CD7B6A">
        <w:rPr>
          <w:rFonts w:ascii="Times New Roman" w:eastAsia="Calibri" w:hAnsi="Times New Roman" w:cs="Times New Roman"/>
          <w:sz w:val="20"/>
          <w:szCs w:val="20"/>
          <w:lang w:val="fr-FR"/>
        </w:rPr>
        <w:t xml:space="preserve"> dans l’extrait aqueux </w:t>
      </w:r>
      <w:proofErr w:type="gramStart"/>
      <w:r w:rsidRPr="00CD7B6A">
        <w:rPr>
          <w:rFonts w:ascii="Times New Roman" w:eastAsia="Calibri" w:hAnsi="Times New Roman" w:cs="Times New Roman"/>
          <w:sz w:val="20"/>
          <w:szCs w:val="20"/>
          <w:lang w:val="fr-FR"/>
        </w:rPr>
        <w:t>et  74</w:t>
      </w:r>
      <w:proofErr w:type="gramEnd"/>
      <w:r w:rsidRPr="00CD7B6A">
        <w:rPr>
          <w:rFonts w:ascii="Times New Roman" w:eastAsia="Calibri" w:hAnsi="Times New Roman" w:cs="Times New Roman"/>
          <w:sz w:val="20"/>
          <w:szCs w:val="20"/>
          <w:lang w:val="fr-FR"/>
        </w:rPr>
        <w:t>,47 ± 2,38 mg EAG</w:t>
      </w:r>
      <w:r w:rsidR="00511019">
        <w:rPr>
          <w:rFonts w:ascii="Times New Roman" w:eastAsia="Calibri" w:hAnsi="Times New Roman" w:cs="Times New Roman"/>
          <w:sz w:val="20"/>
          <w:szCs w:val="20"/>
          <w:lang w:val="fr-FR"/>
        </w:rPr>
        <w:t xml:space="preserve"> / g</w:t>
      </w:r>
      <w:r w:rsidRPr="00CD7B6A">
        <w:rPr>
          <w:rFonts w:ascii="Times New Roman" w:eastAsia="Calibri" w:hAnsi="Times New Roman" w:cs="Times New Roman"/>
          <w:sz w:val="20"/>
          <w:szCs w:val="20"/>
          <w:lang w:val="fr-FR"/>
        </w:rPr>
        <w:t xml:space="preserve"> dans la poudre brute. C’est cette dernière qui a été utilisée pour le remplissage des gélules.</w:t>
      </w:r>
    </w:p>
    <w:bookmarkEnd w:id="9"/>
    <w:p w:rsidR="002C1C73" w:rsidRPr="00E804F1" w:rsidRDefault="00E804F1" w:rsidP="002C1C73">
      <w:pPr>
        <w:spacing w:line="360" w:lineRule="auto"/>
        <w:ind w:left="360"/>
        <w:jc w:val="both"/>
        <w:rPr>
          <w:rFonts w:ascii="Times New Roman" w:eastAsia="Calibri" w:hAnsi="Times New Roman" w:cs="Times New Roman"/>
          <w:b/>
          <w:sz w:val="20"/>
          <w:szCs w:val="20"/>
          <w:lang w:val="fr-FR"/>
        </w:rPr>
      </w:pPr>
      <w:r w:rsidRPr="00E804F1">
        <w:rPr>
          <w:rFonts w:ascii="Times New Roman" w:eastAsia="Calibri" w:hAnsi="Times New Roman" w:cs="Times New Roman"/>
          <w:b/>
          <w:sz w:val="20"/>
          <w:szCs w:val="20"/>
          <w:lang w:val="fr-FR"/>
        </w:rPr>
        <w:t>II-2.</w:t>
      </w:r>
      <w:r w:rsidR="002C1C73" w:rsidRPr="00E804F1">
        <w:rPr>
          <w:rFonts w:ascii="Times New Roman" w:eastAsia="Calibri" w:hAnsi="Times New Roman" w:cs="Times New Roman"/>
          <w:b/>
          <w:sz w:val="20"/>
          <w:szCs w:val="20"/>
          <w:lang w:val="fr-FR"/>
        </w:rPr>
        <w:t xml:space="preserve"> Formulation, fabrication et contrôle des gélules</w:t>
      </w:r>
    </w:p>
    <w:p w:rsidR="002C1C73" w:rsidRPr="00E804F1" w:rsidRDefault="00511019" w:rsidP="00511019">
      <w:pPr>
        <w:spacing w:line="360" w:lineRule="auto"/>
        <w:ind w:left="720"/>
        <w:contextualSpacing/>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II.2.</w:t>
      </w:r>
      <w:proofErr w:type="gramStart"/>
      <w:r>
        <w:rPr>
          <w:rFonts w:ascii="Times New Roman" w:eastAsia="Calibri" w:hAnsi="Times New Roman" w:cs="Times New Roman"/>
          <w:sz w:val="20"/>
          <w:szCs w:val="20"/>
          <w:lang w:val="fr-FR"/>
        </w:rPr>
        <w:t>1.</w:t>
      </w:r>
      <w:r w:rsidR="002C1C73" w:rsidRPr="00E804F1">
        <w:rPr>
          <w:rFonts w:ascii="Times New Roman" w:eastAsia="Calibri" w:hAnsi="Times New Roman" w:cs="Times New Roman"/>
          <w:sz w:val="20"/>
          <w:szCs w:val="20"/>
          <w:lang w:val="fr-FR"/>
        </w:rPr>
        <w:t>Formules</w:t>
      </w:r>
      <w:proofErr w:type="gramEnd"/>
      <w:r w:rsidR="002C1C73" w:rsidRPr="00E804F1">
        <w:rPr>
          <w:rFonts w:ascii="Times New Roman" w:eastAsia="Calibri" w:hAnsi="Times New Roman" w:cs="Times New Roman"/>
          <w:sz w:val="20"/>
          <w:szCs w:val="20"/>
          <w:lang w:val="fr-FR"/>
        </w:rPr>
        <w:t xml:space="preserve"> testées</w:t>
      </w:r>
    </w:p>
    <w:p w:rsidR="002C1C73" w:rsidRPr="00E804F1" w:rsidRDefault="002C1C73" w:rsidP="002C1C73">
      <w:pPr>
        <w:spacing w:line="360" w:lineRule="auto"/>
        <w:ind w:firstLine="708"/>
        <w:jc w:val="both"/>
        <w:rPr>
          <w:rFonts w:ascii="Times New Roman" w:eastAsia="Times New Roman" w:hAnsi="Times New Roman" w:cs="Times New Roman"/>
          <w:sz w:val="20"/>
          <w:szCs w:val="20"/>
          <w:lang w:val="fr-FR"/>
        </w:rPr>
      </w:pPr>
      <w:r w:rsidRPr="00E804F1">
        <w:rPr>
          <w:rFonts w:ascii="Times New Roman" w:eastAsia="Times New Roman" w:hAnsi="Times New Roman" w:cs="Times New Roman"/>
          <w:sz w:val="20"/>
          <w:szCs w:val="20"/>
          <w:lang w:val="fr-FR"/>
        </w:rPr>
        <w:t>Bien que sèche, la poudre brute contrairement à l’extrait était légèrement hygroscopique d’où la nécessité de la stabiliser par ajout d’excipients. Le tableau 6 présente la composition et les caractéristiques des 8 formules testées. La formule F5 avait les meilleures propriétés et a donc été sélectionnée pour le remplissage des gélules.</w:t>
      </w:r>
    </w:p>
    <w:p w:rsidR="002C1C73" w:rsidRPr="002B0EE6" w:rsidRDefault="002C1C73" w:rsidP="002C1C73">
      <w:pPr>
        <w:spacing w:line="360" w:lineRule="auto"/>
        <w:ind w:firstLine="708"/>
        <w:jc w:val="both"/>
        <w:rPr>
          <w:rFonts w:ascii="Times New Roman" w:eastAsia="Times New Roman" w:hAnsi="Times New Roman" w:cs="Times New Roman"/>
          <w:i/>
          <w:szCs w:val="20"/>
          <w:lang w:val="fr-FR"/>
        </w:rPr>
      </w:pPr>
      <w:r w:rsidRPr="002B0EE6">
        <w:rPr>
          <w:rFonts w:ascii="Times New Roman" w:eastAsia="Times New Roman" w:hAnsi="Times New Roman" w:cs="Times New Roman"/>
          <w:bCs/>
          <w:i/>
          <w:szCs w:val="20"/>
          <w:lang w:val="fr-FR"/>
        </w:rPr>
        <w:lastRenderedPageBreak/>
        <w:t xml:space="preserve">Tableau 6 : </w:t>
      </w:r>
      <w:r w:rsidRPr="002B0EE6">
        <w:rPr>
          <w:rFonts w:ascii="Times New Roman" w:eastAsia="Times New Roman" w:hAnsi="Times New Roman" w:cs="Times New Roman"/>
          <w:i/>
          <w:szCs w:val="20"/>
          <w:lang w:val="fr-FR"/>
        </w:rPr>
        <w:t>Formules testées et résultat des tests réalisés</w:t>
      </w:r>
    </w:p>
    <w:tbl>
      <w:tblPr>
        <w:tblStyle w:val="Grilledutableau"/>
        <w:tblW w:w="9960" w:type="dxa"/>
        <w:tblLook w:val="04A0" w:firstRow="1" w:lastRow="0" w:firstColumn="1" w:lastColumn="0" w:noHBand="0" w:noVBand="1"/>
      </w:tblPr>
      <w:tblGrid>
        <w:gridCol w:w="2122"/>
        <w:gridCol w:w="1043"/>
        <w:gridCol w:w="1136"/>
        <w:gridCol w:w="1136"/>
        <w:gridCol w:w="870"/>
        <w:gridCol w:w="870"/>
        <w:gridCol w:w="1043"/>
        <w:gridCol w:w="870"/>
        <w:gridCol w:w="870"/>
      </w:tblGrid>
      <w:tr w:rsidR="002C1C73" w:rsidRPr="00D87D7B" w:rsidTr="002C1C73">
        <w:trPr>
          <w:trHeight w:val="101"/>
        </w:trPr>
        <w:tc>
          <w:tcPr>
            <w:tcW w:w="2122"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bookmarkStart w:id="10" w:name="_Hlk163651372"/>
            <w:r w:rsidRPr="00511019">
              <w:rPr>
                <w:rFonts w:ascii="Times New Roman" w:eastAsia="Calibri" w:hAnsi="Times New Roman" w:cs="Times New Roman"/>
                <w:b/>
                <w:bCs/>
                <w:sz w:val="20"/>
                <w:szCs w:val="20"/>
              </w:rPr>
              <w:t>Composition</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F1</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F2</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F3</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F4</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F5</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F6</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F7</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F8</w:t>
            </w:r>
          </w:p>
        </w:tc>
      </w:tr>
      <w:tr w:rsidR="002C1C73" w:rsidRPr="00D87D7B" w:rsidTr="002C1C73">
        <w:trPr>
          <w:trHeight w:val="674"/>
        </w:trPr>
        <w:tc>
          <w:tcPr>
            <w:tcW w:w="2122" w:type="dxa"/>
            <w:vAlign w:val="center"/>
          </w:tcPr>
          <w:p w:rsidR="002C1C73" w:rsidRPr="00511019" w:rsidRDefault="002C1C73" w:rsidP="002C1C73">
            <w:pPr>
              <w:spacing w:before="80" w:after="80"/>
              <w:rPr>
                <w:rFonts w:ascii="Times New Roman" w:eastAsia="Calibri" w:hAnsi="Times New Roman" w:cs="Times New Roman"/>
                <w:sz w:val="20"/>
                <w:szCs w:val="20"/>
              </w:rPr>
            </w:pPr>
            <w:r w:rsidRPr="00511019">
              <w:rPr>
                <w:rFonts w:ascii="Times New Roman" w:eastAsia="Calibri" w:hAnsi="Times New Roman" w:cs="Times New Roman"/>
                <w:sz w:val="20"/>
                <w:szCs w:val="20"/>
              </w:rPr>
              <w:t>Poudre brute de gingembre</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(99,5%)</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(98%)</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(96%)</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(99%)</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(98%)</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(96%)</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(98%)</w:t>
            </w:r>
          </w:p>
          <w:p w:rsidR="002C1C73" w:rsidRPr="00511019" w:rsidRDefault="002C1C73" w:rsidP="002C1C73">
            <w:pPr>
              <w:spacing w:before="80" w:after="80"/>
              <w:jc w:val="center"/>
              <w:rPr>
                <w:rFonts w:ascii="Times New Roman" w:eastAsia="Calibri" w:hAnsi="Times New Roman" w:cs="Times New Roman"/>
                <w:sz w:val="20"/>
                <w:szCs w:val="20"/>
              </w:rPr>
            </w:pP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(97%)</w:t>
            </w:r>
          </w:p>
        </w:tc>
      </w:tr>
      <w:tr w:rsidR="002C1C73" w:rsidRPr="00D87D7B" w:rsidTr="002C1C73">
        <w:trPr>
          <w:trHeight w:val="389"/>
        </w:trPr>
        <w:tc>
          <w:tcPr>
            <w:tcW w:w="2122" w:type="dxa"/>
            <w:vAlign w:val="center"/>
          </w:tcPr>
          <w:p w:rsidR="002C1C73" w:rsidRPr="00511019" w:rsidRDefault="002C1C73" w:rsidP="002C1C73">
            <w:pPr>
              <w:spacing w:before="80" w:after="80"/>
              <w:rPr>
                <w:rFonts w:ascii="Times New Roman" w:eastAsia="Calibri" w:hAnsi="Times New Roman" w:cs="Times New Roman"/>
                <w:sz w:val="20"/>
                <w:szCs w:val="20"/>
              </w:rPr>
            </w:pPr>
            <w:r w:rsidRPr="00511019">
              <w:rPr>
                <w:rFonts w:ascii="Times New Roman" w:eastAsia="Calibri" w:hAnsi="Times New Roman" w:cs="Times New Roman"/>
                <w:sz w:val="20"/>
                <w:szCs w:val="20"/>
              </w:rPr>
              <w:t>Talc</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 xml:space="preserve"> (0.5 %)</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(2 %)</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(4 %)</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r>
      <w:tr w:rsidR="002C1C73" w:rsidRPr="00D87D7B" w:rsidTr="002C1C73">
        <w:tc>
          <w:tcPr>
            <w:tcW w:w="2122" w:type="dxa"/>
            <w:vAlign w:val="center"/>
          </w:tcPr>
          <w:p w:rsidR="002C1C73" w:rsidRPr="00511019" w:rsidRDefault="002C1C73" w:rsidP="002C1C73">
            <w:pPr>
              <w:spacing w:before="80" w:after="80"/>
              <w:rPr>
                <w:rFonts w:ascii="Times New Roman" w:eastAsia="Calibri" w:hAnsi="Times New Roman" w:cs="Times New Roman"/>
                <w:sz w:val="20"/>
                <w:szCs w:val="20"/>
              </w:rPr>
            </w:pPr>
            <w:r w:rsidRPr="00511019">
              <w:rPr>
                <w:rFonts w:ascii="Times New Roman" w:eastAsia="Calibri" w:hAnsi="Times New Roman" w:cs="Times New Roman"/>
                <w:sz w:val="20"/>
                <w:szCs w:val="20"/>
              </w:rPr>
              <w:t>Silice colloïdale anhydre</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(1 %)</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(1 %)</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(1 %)</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(2 %)</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(2 %)</w:t>
            </w:r>
          </w:p>
        </w:tc>
      </w:tr>
      <w:tr w:rsidR="002C1C73" w:rsidRPr="00D87D7B" w:rsidTr="002C1C73">
        <w:tc>
          <w:tcPr>
            <w:tcW w:w="2122" w:type="dxa"/>
            <w:vAlign w:val="center"/>
          </w:tcPr>
          <w:p w:rsidR="002C1C73" w:rsidRPr="00511019" w:rsidRDefault="002C1C73" w:rsidP="002C1C73">
            <w:pPr>
              <w:spacing w:before="80" w:after="80"/>
              <w:rPr>
                <w:rFonts w:ascii="Times New Roman" w:eastAsia="Calibri" w:hAnsi="Times New Roman" w:cs="Times New Roman"/>
                <w:sz w:val="20"/>
                <w:szCs w:val="20"/>
              </w:rPr>
            </w:pPr>
            <w:r w:rsidRPr="00511019">
              <w:rPr>
                <w:rFonts w:ascii="Times New Roman" w:eastAsia="Calibri" w:hAnsi="Times New Roman" w:cs="Times New Roman"/>
                <w:sz w:val="20"/>
                <w:szCs w:val="20"/>
              </w:rPr>
              <w:t>Cellulose microcristalline PH 101</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(1 %)</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(3 %)</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(1 %)</w:t>
            </w:r>
          </w:p>
        </w:tc>
      </w:tr>
      <w:tr w:rsidR="002C1C73" w:rsidRPr="00D87D7B" w:rsidTr="002C1C73">
        <w:tc>
          <w:tcPr>
            <w:tcW w:w="2122" w:type="dxa"/>
            <w:vAlign w:val="center"/>
          </w:tcPr>
          <w:p w:rsidR="002C1C73" w:rsidRPr="00511019" w:rsidRDefault="002C1C73" w:rsidP="002C1C73">
            <w:pPr>
              <w:spacing w:before="80" w:after="80"/>
              <w:rPr>
                <w:rFonts w:ascii="Times New Roman" w:eastAsia="Calibri" w:hAnsi="Times New Roman" w:cs="Times New Roman"/>
                <w:sz w:val="20"/>
                <w:szCs w:val="20"/>
              </w:rPr>
            </w:pPr>
            <w:r w:rsidRPr="00511019">
              <w:rPr>
                <w:rFonts w:ascii="Times New Roman" w:eastAsia="Calibri" w:hAnsi="Times New Roman" w:cs="Times New Roman"/>
                <w:sz w:val="20"/>
                <w:szCs w:val="20"/>
              </w:rPr>
              <w:t>Temps d’écoulement</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6 s</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7 s</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7 s</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8,3 s</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6 s</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 s</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5,3 s</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8,3</w:t>
            </w:r>
          </w:p>
        </w:tc>
      </w:tr>
      <w:tr w:rsidR="002C1C73" w:rsidRPr="00D87D7B" w:rsidTr="002C1C73">
        <w:trPr>
          <w:trHeight w:val="729"/>
        </w:trPr>
        <w:tc>
          <w:tcPr>
            <w:tcW w:w="2122" w:type="dxa"/>
            <w:vAlign w:val="center"/>
          </w:tcPr>
          <w:p w:rsidR="002C1C73" w:rsidRPr="00511019" w:rsidRDefault="002C1C73" w:rsidP="002C1C73">
            <w:pPr>
              <w:spacing w:before="80" w:after="80"/>
              <w:rPr>
                <w:rFonts w:ascii="Times New Roman" w:eastAsia="Calibri" w:hAnsi="Times New Roman" w:cs="Times New Roman"/>
                <w:sz w:val="20"/>
                <w:szCs w:val="20"/>
              </w:rPr>
            </w:pPr>
            <w:r w:rsidRPr="00511019">
              <w:rPr>
                <w:rFonts w:ascii="Times New Roman" w:eastAsia="Calibri" w:hAnsi="Times New Roman" w:cs="Times New Roman"/>
                <w:sz w:val="20"/>
                <w:szCs w:val="20"/>
              </w:rPr>
              <w:t>Indice de Carr (en %)</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22,6</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27,9</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26,11</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18,2</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15,5</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21,8</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17,7</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17,5</w:t>
            </w:r>
          </w:p>
        </w:tc>
      </w:tr>
      <w:tr w:rsidR="002C1C73" w:rsidRPr="00D87D7B" w:rsidTr="002C1C73">
        <w:tc>
          <w:tcPr>
            <w:tcW w:w="2122" w:type="dxa"/>
            <w:vAlign w:val="center"/>
          </w:tcPr>
          <w:p w:rsidR="002C1C73" w:rsidRPr="00511019" w:rsidRDefault="002C1C73" w:rsidP="002C1C73">
            <w:pPr>
              <w:spacing w:before="80" w:after="80"/>
              <w:rPr>
                <w:rFonts w:ascii="Times New Roman" w:eastAsia="Calibri" w:hAnsi="Times New Roman" w:cs="Times New Roman"/>
                <w:sz w:val="20"/>
                <w:szCs w:val="20"/>
              </w:rPr>
            </w:pPr>
            <w:r w:rsidRPr="00511019">
              <w:rPr>
                <w:rFonts w:ascii="Times New Roman" w:eastAsia="Calibri" w:hAnsi="Times New Roman" w:cs="Times New Roman"/>
                <w:sz w:val="20"/>
                <w:szCs w:val="20"/>
              </w:rPr>
              <w:t xml:space="preserve">Indice de </w:t>
            </w:r>
            <w:proofErr w:type="spellStart"/>
            <w:r w:rsidRPr="00511019">
              <w:rPr>
                <w:rFonts w:ascii="Times New Roman" w:eastAsia="Calibri" w:hAnsi="Times New Roman" w:cs="Times New Roman"/>
                <w:sz w:val="20"/>
                <w:szCs w:val="20"/>
              </w:rPr>
              <w:t>Hausner</w:t>
            </w:r>
            <w:proofErr w:type="spellEnd"/>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1,29</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1,38</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1,35</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1,22</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1,18</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1,27</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1,21</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1,21</w:t>
            </w:r>
          </w:p>
        </w:tc>
      </w:tr>
      <w:tr w:rsidR="002C1C73" w:rsidRPr="00D87D7B" w:rsidTr="002C1C73">
        <w:tc>
          <w:tcPr>
            <w:tcW w:w="2122" w:type="dxa"/>
            <w:vAlign w:val="center"/>
          </w:tcPr>
          <w:p w:rsidR="002C1C73" w:rsidRPr="00511019" w:rsidRDefault="002C1C73" w:rsidP="002C1C73">
            <w:pPr>
              <w:spacing w:before="80" w:after="80"/>
              <w:rPr>
                <w:rFonts w:ascii="Times New Roman" w:eastAsia="Calibri" w:hAnsi="Times New Roman" w:cs="Times New Roman"/>
                <w:sz w:val="20"/>
                <w:szCs w:val="20"/>
              </w:rPr>
            </w:pPr>
            <w:r w:rsidRPr="00511019">
              <w:rPr>
                <w:rFonts w:ascii="Times New Roman" w:eastAsia="Calibri" w:hAnsi="Times New Roman" w:cs="Times New Roman"/>
                <w:sz w:val="20"/>
                <w:szCs w:val="20"/>
              </w:rPr>
              <w:t>Interprétation</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Passable</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Médiocre</w:t>
            </w:r>
          </w:p>
        </w:tc>
        <w:tc>
          <w:tcPr>
            <w:tcW w:w="113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Médiocre</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Assez-bonne</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b/>
                <w:bCs/>
                <w:sz w:val="20"/>
                <w:szCs w:val="20"/>
              </w:rPr>
            </w:pPr>
            <w:r w:rsidRPr="00511019">
              <w:rPr>
                <w:rFonts w:ascii="Times New Roman" w:eastAsia="Calibri" w:hAnsi="Times New Roman" w:cs="Times New Roman"/>
                <w:b/>
                <w:bCs/>
                <w:sz w:val="20"/>
                <w:szCs w:val="20"/>
              </w:rPr>
              <w:t>Bonne</w:t>
            </w:r>
          </w:p>
        </w:tc>
        <w:tc>
          <w:tcPr>
            <w:tcW w:w="1043"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Passable</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Assez-bonne</w:t>
            </w:r>
          </w:p>
        </w:tc>
        <w:tc>
          <w:tcPr>
            <w:tcW w:w="870"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Assez-bonne</w:t>
            </w:r>
          </w:p>
        </w:tc>
      </w:tr>
      <w:bookmarkEnd w:id="10"/>
    </w:tbl>
    <w:p w:rsidR="002C1C73" w:rsidRPr="00D87D7B" w:rsidRDefault="002C1C73" w:rsidP="002C1C73">
      <w:pPr>
        <w:spacing w:line="360" w:lineRule="auto"/>
        <w:ind w:left="720"/>
        <w:contextualSpacing/>
        <w:jc w:val="both"/>
        <w:rPr>
          <w:rFonts w:ascii="Times New Roman" w:eastAsia="Calibri" w:hAnsi="Times New Roman" w:cs="Times New Roman"/>
          <w:sz w:val="24"/>
          <w:szCs w:val="24"/>
          <w:lang w:val="fr-FR"/>
        </w:rPr>
      </w:pPr>
    </w:p>
    <w:p w:rsidR="002C1C73" w:rsidRPr="00511019" w:rsidRDefault="00511019" w:rsidP="00511019">
      <w:pPr>
        <w:spacing w:line="360" w:lineRule="auto"/>
        <w:ind w:left="720"/>
        <w:contextualSpacing/>
        <w:jc w:val="both"/>
        <w:rPr>
          <w:rFonts w:ascii="Times New Roman" w:eastAsia="Calibri" w:hAnsi="Times New Roman" w:cs="Times New Roman"/>
          <w:sz w:val="20"/>
          <w:szCs w:val="20"/>
          <w:lang w:val="fr-FR"/>
        </w:rPr>
      </w:pPr>
      <w:r w:rsidRPr="00511019">
        <w:rPr>
          <w:rFonts w:ascii="Times New Roman" w:eastAsia="Calibri" w:hAnsi="Times New Roman" w:cs="Times New Roman"/>
          <w:sz w:val="20"/>
          <w:szCs w:val="20"/>
          <w:lang w:val="fr-FR"/>
        </w:rPr>
        <w:t xml:space="preserve">II.2.2. </w:t>
      </w:r>
      <w:r w:rsidR="002C1C73" w:rsidRPr="00511019">
        <w:rPr>
          <w:rFonts w:ascii="Times New Roman" w:eastAsia="Calibri" w:hAnsi="Times New Roman" w:cs="Times New Roman"/>
          <w:sz w:val="20"/>
          <w:szCs w:val="20"/>
          <w:lang w:val="fr-FR"/>
        </w:rPr>
        <w:t>Analyse granulométrique de la poudre brute</w:t>
      </w:r>
    </w:p>
    <w:p w:rsidR="002C1C73" w:rsidRPr="00511019" w:rsidRDefault="002C1C73" w:rsidP="002C1C73">
      <w:pPr>
        <w:spacing w:line="360" w:lineRule="auto"/>
        <w:ind w:left="360"/>
        <w:jc w:val="both"/>
        <w:rPr>
          <w:rFonts w:ascii="Times New Roman" w:eastAsia="Calibri" w:hAnsi="Times New Roman" w:cs="Times New Roman"/>
          <w:sz w:val="20"/>
          <w:szCs w:val="20"/>
          <w:lang w:val="fr-FR"/>
        </w:rPr>
      </w:pPr>
      <w:r w:rsidRPr="00511019">
        <w:rPr>
          <w:rFonts w:ascii="Times New Roman" w:eastAsia="Calibri" w:hAnsi="Times New Roman" w:cs="Times New Roman"/>
          <w:sz w:val="20"/>
          <w:szCs w:val="20"/>
          <w:lang w:val="fr-FR"/>
        </w:rPr>
        <w:t>Comme le montre la Figure 1, pour la formule F5, la poudre est homogène car le tamis T2 de maille 710 µm a retenu plus de 50 % de la poudre (64 %). La d</w:t>
      </w:r>
      <w:r w:rsidRPr="00511019">
        <w:rPr>
          <w:rFonts w:ascii="Times New Roman" w:eastAsia="Calibri" w:hAnsi="Times New Roman" w:cs="Times New Roman"/>
          <w:sz w:val="20"/>
          <w:szCs w:val="20"/>
          <w:vertAlign w:val="subscript"/>
          <w:lang w:val="fr-FR"/>
        </w:rPr>
        <w:t>50</w:t>
      </w:r>
      <w:r w:rsidRPr="00511019">
        <w:rPr>
          <w:rFonts w:ascii="Times New Roman" w:eastAsia="Calibri" w:hAnsi="Times New Roman" w:cs="Times New Roman"/>
          <w:sz w:val="20"/>
          <w:szCs w:val="20"/>
          <w:lang w:val="fr-FR"/>
        </w:rPr>
        <w:t xml:space="preserve"> est donc inférieure à 700 µm.</w:t>
      </w:r>
    </w:p>
    <w:p w:rsidR="002C1C73" w:rsidRPr="00511019" w:rsidRDefault="002C1C73" w:rsidP="002C1C73">
      <w:pPr>
        <w:spacing w:line="360" w:lineRule="auto"/>
        <w:jc w:val="both"/>
        <w:rPr>
          <w:rFonts w:ascii="Times New Roman" w:eastAsia="Calibri" w:hAnsi="Times New Roman" w:cs="Times New Roman"/>
          <w:sz w:val="20"/>
          <w:szCs w:val="20"/>
          <w:lang w:val="fr-FR"/>
        </w:rPr>
      </w:pPr>
      <w:r w:rsidRPr="00511019">
        <w:rPr>
          <w:rFonts w:ascii="Times New Roman" w:eastAsia="Calibri" w:hAnsi="Times New Roman" w:cs="Times New Roman"/>
          <w:noProof/>
          <w:sz w:val="20"/>
          <w:szCs w:val="20"/>
        </w:rPr>
        <w:drawing>
          <wp:inline distT="0" distB="0" distL="0" distR="0" wp14:anchorId="6454AFB8" wp14:editId="1FE60A53">
            <wp:extent cx="5593080" cy="3267958"/>
            <wp:effectExtent l="0" t="0" r="7620" b="8890"/>
            <wp:docPr id="32519219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1C73" w:rsidRPr="00511019" w:rsidRDefault="002C1C73" w:rsidP="002C1C73">
      <w:pPr>
        <w:spacing w:line="360" w:lineRule="auto"/>
        <w:jc w:val="center"/>
        <w:rPr>
          <w:rFonts w:ascii="Times New Roman" w:eastAsia="Calibri" w:hAnsi="Times New Roman" w:cs="Times New Roman"/>
          <w:i/>
          <w:sz w:val="20"/>
          <w:szCs w:val="20"/>
          <w:lang w:val="fr-FR"/>
        </w:rPr>
      </w:pPr>
      <w:bookmarkStart w:id="11" w:name="_Toc168503880"/>
      <w:r w:rsidRPr="00511019">
        <w:rPr>
          <w:rFonts w:ascii="Times New Roman" w:eastAsia="Calibri" w:hAnsi="Times New Roman" w:cs="Times New Roman"/>
          <w:i/>
          <w:sz w:val="20"/>
          <w:szCs w:val="20"/>
          <w:lang w:val="fr-FR"/>
        </w:rPr>
        <w:t>Figure 1 : Résultats de l’analyse granulométrique</w:t>
      </w:r>
      <w:bookmarkEnd w:id="11"/>
    </w:p>
    <w:p w:rsidR="002C1C73" w:rsidRPr="00511019" w:rsidRDefault="00511019" w:rsidP="002C1C73">
      <w:pPr>
        <w:spacing w:line="360" w:lineRule="auto"/>
        <w:ind w:left="720"/>
        <w:contextualSpacing/>
        <w:jc w:val="both"/>
        <w:rPr>
          <w:rFonts w:ascii="Times New Roman" w:eastAsia="Calibri" w:hAnsi="Times New Roman" w:cs="Times New Roman"/>
          <w:sz w:val="20"/>
          <w:szCs w:val="20"/>
          <w:lang w:val="fr-FR"/>
        </w:rPr>
      </w:pPr>
      <w:r w:rsidRPr="00511019">
        <w:rPr>
          <w:rFonts w:ascii="Times New Roman" w:eastAsia="Calibri" w:hAnsi="Times New Roman" w:cs="Times New Roman"/>
          <w:sz w:val="20"/>
          <w:szCs w:val="20"/>
          <w:lang w:val="fr-FR"/>
        </w:rPr>
        <w:lastRenderedPageBreak/>
        <w:t>II.2.</w:t>
      </w:r>
      <w:proofErr w:type="gramStart"/>
      <w:r w:rsidRPr="00511019">
        <w:rPr>
          <w:rFonts w:ascii="Times New Roman" w:eastAsia="Calibri" w:hAnsi="Times New Roman" w:cs="Times New Roman"/>
          <w:sz w:val="20"/>
          <w:szCs w:val="20"/>
          <w:lang w:val="fr-FR"/>
        </w:rPr>
        <w:t>3.</w:t>
      </w:r>
      <w:r w:rsidR="002C1C73" w:rsidRPr="00511019">
        <w:rPr>
          <w:rFonts w:ascii="Times New Roman" w:eastAsia="Calibri" w:hAnsi="Times New Roman" w:cs="Times New Roman"/>
          <w:sz w:val="20"/>
          <w:szCs w:val="20"/>
          <w:lang w:val="fr-FR"/>
        </w:rPr>
        <w:t>Dose</w:t>
      </w:r>
      <w:proofErr w:type="gramEnd"/>
      <w:r w:rsidR="002C1C73" w:rsidRPr="00511019">
        <w:rPr>
          <w:rFonts w:ascii="Times New Roman" w:eastAsia="Calibri" w:hAnsi="Times New Roman" w:cs="Times New Roman"/>
          <w:sz w:val="20"/>
          <w:szCs w:val="20"/>
          <w:lang w:val="fr-FR"/>
        </w:rPr>
        <w:t xml:space="preserve"> journalière.</w:t>
      </w:r>
    </w:p>
    <w:p w:rsidR="002C1C73" w:rsidRPr="00511019" w:rsidRDefault="002C1C73" w:rsidP="002C1C73">
      <w:pPr>
        <w:spacing w:line="360" w:lineRule="auto"/>
        <w:ind w:firstLine="708"/>
        <w:jc w:val="both"/>
        <w:rPr>
          <w:rFonts w:ascii="Times New Roman" w:eastAsia="Calibri" w:hAnsi="Times New Roman" w:cs="Times New Roman"/>
          <w:sz w:val="20"/>
          <w:szCs w:val="20"/>
          <w:lang w:val="fr-FR"/>
        </w:rPr>
      </w:pPr>
      <w:r w:rsidRPr="00511019">
        <w:rPr>
          <w:rFonts w:ascii="Times New Roman" w:eastAsia="Calibri" w:hAnsi="Times New Roman" w:cs="Times New Roman"/>
          <w:sz w:val="20"/>
          <w:szCs w:val="20"/>
          <w:lang w:val="fr-FR"/>
        </w:rPr>
        <w:t xml:space="preserve">Les études précliniques </w:t>
      </w:r>
      <w:r w:rsidRPr="00511019">
        <w:rPr>
          <w:rFonts w:ascii="Times New Roman" w:eastAsia="Calibri" w:hAnsi="Times New Roman" w:cs="Times New Roman"/>
          <w:sz w:val="20"/>
          <w:szCs w:val="20"/>
          <w:lang w:val="fr-FR"/>
        </w:rPr>
        <w:fldChar w:fldCharType="begin"/>
      </w:r>
      <w:r w:rsidRPr="00511019">
        <w:rPr>
          <w:rFonts w:ascii="Times New Roman" w:eastAsia="Calibri" w:hAnsi="Times New Roman" w:cs="Times New Roman"/>
          <w:sz w:val="20"/>
          <w:szCs w:val="20"/>
          <w:lang w:val="fr-FR"/>
        </w:rPr>
        <w:instrText xml:space="preserve"> ADDIN ZOTERO_ITEM CSL_CITATION {"citationID":"bnQRMspF","properties":{"formattedCitation":"[2,3,5]","plainCitation":"[2,3,5]","noteIndex":0},"citationItems":[{"id":123,"uris":["http://zotero.org/users/13638572/items/R936EA3V"],"itemData":{"id":123,"type":"webpage","title":"Anti-diabetic and hypolipidaemic properties... - Google Scholar","URL":"https://scholar.google.com/scholar?cluster=15901705546646235427&amp;hl=fr&amp;as_sdt=0,5","author":[{"family":"Al-Amin","given":"M."},{"family":"Martha","given":"Thomson"},{"family":"Khaled   K.","given":""},{"family":"Riitta","given":"Peltonen­Shalaby"},{"family":"Muslim","given":"Ali"}],"accessed":{"date-parts":[["2023",12,2]]},"issued":{"date-parts":[["2006"]]}}},{"id":53,"uris":["http://zotero.org/users/13638572/items/P9GWQMHX"],"itemData":{"id":53,"type":"article-journal","container-title":"International Journal of Food Sciences and Nutrition","DOI":"10.3109/09637486.2013.775223","ISSN":"0963-7486, 1465-3478","issue":"6","journalAbbreviation":"International Journal of Food Sciences and Nutrition","language":"en","page":"682-686","source":"DOI.org (Crossref)","title":"Effects of ginger ( &lt;i&gt;Zingiber officinale&lt;/i&gt; ) on plasma glucose level, HbA1c and insulin sensitivity in type 2 diabetic patients","volume":"64","author":[{"family":"Mahluji","given":"Sepide"},{"family":"Attari","given":"Vahide Ebrahimzade"},{"family":"Mobasseri","given":"Majid"},{"family":"Payahoo","given":"Laleh"},{"family":"Ostadrahimi","given":"Alireza"},{"family":"Golzari","given":"Samad Ej"}],"issued":{"date-parts":[["2013",9]]}}},{"id":63,"uris":["http://zotero.org/users/13638572/items/WZBD6XUG"],"itemData":{"id":63,"type":"thesis","genre":"PhD Thesis","source":"Google Scholar","title":"Etude comparative de l'effet préventif du gingembre et du nadh sur un modéle de diabéte induit par la stréptozotocine chez le rat Wistar","URL":"http://dspace.univ-medea.dz/handle/123456789/8937","author":[{"family":"Bahria","given":"Karima"},{"family":"Benachour","given":"K."}],"accessed":{"date-parts":[["2023",11,25]]},"issued":{"date-parts":[["2017"]]}}}],"schema":"https://github.com/citation-style-language/schema/raw/master/csl-citation.json"} </w:instrText>
      </w:r>
      <w:r w:rsidRPr="00511019">
        <w:rPr>
          <w:rFonts w:ascii="Times New Roman" w:eastAsia="Calibri" w:hAnsi="Times New Roman" w:cs="Times New Roman"/>
          <w:sz w:val="20"/>
          <w:szCs w:val="20"/>
          <w:lang w:val="fr-FR"/>
        </w:rPr>
        <w:fldChar w:fldCharType="separate"/>
      </w:r>
      <w:r w:rsidRPr="00511019">
        <w:rPr>
          <w:rFonts w:ascii="Times New Roman" w:eastAsia="Calibri" w:hAnsi="Times New Roman" w:cs="Times New Roman"/>
          <w:sz w:val="20"/>
          <w:szCs w:val="20"/>
          <w:lang w:val="fr-FR"/>
        </w:rPr>
        <w:t>[2,3,5]</w:t>
      </w:r>
      <w:r w:rsidRPr="00511019">
        <w:rPr>
          <w:rFonts w:ascii="Times New Roman" w:eastAsia="Calibri" w:hAnsi="Times New Roman" w:cs="Times New Roman"/>
          <w:sz w:val="20"/>
          <w:szCs w:val="20"/>
          <w:lang w:val="fr-FR"/>
        </w:rPr>
        <w:fldChar w:fldCharType="end"/>
      </w:r>
      <w:r w:rsidRPr="00511019">
        <w:rPr>
          <w:rFonts w:ascii="Times New Roman" w:eastAsia="Calibri" w:hAnsi="Times New Roman" w:cs="Times New Roman"/>
          <w:sz w:val="20"/>
          <w:szCs w:val="20"/>
          <w:lang w:val="fr-FR"/>
        </w:rPr>
        <w:t xml:space="preserve"> ont montré que la dose efficace chez le rat est de 500 mg/kg/jour. Le facteur fourni par la FAD chez le rat étant de 0,162, la dose équivalente humaine (DHE) est de 500 x 0,162 = 81 mg/kg/jour, soit pour un adulte de 60 kg, 81 mg x 60 = 4,860 g d'extrait par jour. Comme 1 g d’extrait renferme 62,33 mg EAG de polyphénols totaux la dose, les 4,860g d’extrait journaliers contiennent 62.33 x 4,860 = </w:t>
      </w:r>
      <w:r w:rsidRPr="00511019">
        <w:rPr>
          <w:rFonts w:ascii="Times New Roman" w:eastAsia="Calibri" w:hAnsi="Times New Roman" w:cs="Times New Roman"/>
          <w:color w:val="000000" w:themeColor="text1"/>
          <w:sz w:val="20"/>
          <w:szCs w:val="20"/>
          <w:lang w:val="fr-FR"/>
        </w:rPr>
        <w:t xml:space="preserve">302,92 </w:t>
      </w:r>
      <w:r w:rsidRPr="00511019">
        <w:rPr>
          <w:rFonts w:ascii="Times New Roman" w:eastAsia="Calibri" w:hAnsi="Times New Roman" w:cs="Times New Roman"/>
          <w:sz w:val="20"/>
          <w:szCs w:val="20"/>
          <w:lang w:val="fr-FR"/>
        </w:rPr>
        <w:t>mg EAG de polyphénols totaux.  La poudre brute renferme 74,47 mg EAG de polyphénols totaux par gramme ; les 302,92mg EAG de polyphénols journaliers correspondent à (302,92mg : 74</w:t>
      </w:r>
      <w:r w:rsidRPr="00511019">
        <w:rPr>
          <w:rFonts w:ascii="Times New Roman" w:eastAsia="Calibri" w:hAnsi="Times New Roman" w:cs="Times New Roman"/>
          <w:color w:val="000000" w:themeColor="text1"/>
          <w:sz w:val="20"/>
          <w:szCs w:val="20"/>
          <w:lang w:val="fr-FR"/>
        </w:rPr>
        <w:t xml:space="preserve">,47mg) x 1g = 4,067g </w:t>
      </w:r>
      <w:r w:rsidRPr="00511019">
        <w:rPr>
          <w:rFonts w:ascii="Times New Roman" w:eastAsia="Calibri" w:hAnsi="Times New Roman" w:cs="Times New Roman"/>
          <w:sz w:val="20"/>
          <w:szCs w:val="20"/>
          <w:lang w:val="fr-FR"/>
        </w:rPr>
        <w:t xml:space="preserve">de poudre brute. </w:t>
      </w:r>
    </w:p>
    <w:p w:rsidR="002C1C73" w:rsidRPr="00511019" w:rsidRDefault="002C1C73" w:rsidP="002C1C73">
      <w:pPr>
        <w:spacing w:line="360" w:lineRule="auto"/>
        <w:ind w:left="720"/>
        <w:contextualSpacing/>
        <w:jc w:val="both"/>
        <w:rPr>
          <w:rFonts w:ascii="Times New Roman" w:eastAsia="Calibri" w:hAnsi="Times New Roman" w:cs="Times New Roman"/>
          <w:sz w:val="20"/>
          <w:szCs w:val="20"/>
          <w:lang w:val="fr-FR"/>
        </w:rPr>
      </w:pPr>
    </w:p>
    <w:p w:rsidR="002C1C73" w:rsidRPr="00511019" w:rsidRDefault="00511019" w:rsidP="002C1C73">
      <w:pPr>
        <w:spacing w:line="360" w:lineRule="auto"/>
        <w:ind w:left="720"/>
        <w:contextualSpacing/>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 xml:space="preserve">II.2.4. </w:t>
      </w:r>
      <w:r w:rsidR="002C1C73" w:rsidRPr="00511019">
        <w:rPr>
          <w:rFonts w:ascii="Times New Roman" w:eastAsia="Calibri" w:hAnsi="Times New Roman" w:cs="Times New Roman"/>
          <w:sz w:val="20"/>
          <w:szCs w:val="20"/>
          <w:lang w:val="fr-FR"/>
        </w:rPr>
        <w:t>Formule unitaire</w:t>
      </w:r>
      <w:r>
        <w:rPr>
          <w:rFonts w:ascii="Times New Roman" w:eastAsia="Calibri" w:hAnsi="Times New Roman" w:cs="Times New Roman"/>
          <w:sz w:val="20"/>
          <w:szCs w:val="20"/>
          <w:lang w:val="fr-FR"/>
        </w:rPr>
        <w:t xml:space="preserve"> des gélules</w:t>
      </w:r>
      <w:r w:rsidR="002C1C73" w:rsidRPr="00511019">
        <w:rPr>
          <w:rFonts w:ascii="Times New Roman" w:eastAsia="Calibri" w:hAnsi="Times New Roman" w:cs="Times New Roman"/>
          <w:sz w:val="20"/>
          <w:szCs w:val="20"/>
          <w:lang w:val="fr-FR"/>
        </w:rPr>
        <w:t> </w:t>
      </w:r>
    </w:p>
    <w:p w:rsidR="002C1C73" w:rsidRPr="00511019" w:rsidRDefault="002C1C73" w:rsidP="002C1C73">
      <w:pPr>
        <w:spacing w:line="360" w:lineRule="auto"/>
        <w:ind w:firstLine="708"/>
        <w:jc w:val="both"/>
        <w:rPr>
          <w:rFonts w:ascii="Times New Roman" w:eastAsia="Calibri" w:hAnsi="Times New Roman" w:cs="Times New Roman"/>
          <w:sz w:val="20"/>
          <w:szCs w:val="20"/>
          <w:lang w:val="fr-FR"/>
        </w:rPr>
      </w:pPr>
      <w:r w:rsidRPr="00511019">
        <w:rPr>
          <w:rFonts w:ascii="Times New Roman" w:eastAsia="Calibri" w:hAnsi="Times New Roman" w:cs="Times New Roman"/>
          <w:sz w:val="20"/>
          <w:szCs w:val="20"/>
          <w:lang w:val="fr-FR"/>
        </w:rPr>
        <w:t>La formule unitaire des gélules n°00, déterminée à partir de la composition de la formule retenue (F5) et du nombre de gélules n°00 nécessaires pour obtenir la dose journalière, est détaillée dans le tableau 7 :</w:t>
      </w:r>
    </w:p>
    <w:p w:rsidR="002C1C73" w:rsidRPr="00511019" w:rsidRDefault="002C1C73" w:rsidP="002C1C73">
      <w:pPr>
        <w:spacing w:line="360" w:lineRule="auto"/>
        <w:ind w:firstLine="708"/>
        <w:jc w:val="both"/>
        <w:rPr>
          <w:rFonts w:ascii="Times New Roman" w:eastAsia="Calibri" w:hAnsi="Times New Roman" w:cs="Times New Roman"/>
          <w:i/>
          <w:sz w:val="20"/>
          <w:szCs w:val="20"/>
          <w:lang w:val="fr-FR"/>
        </w:rPr>
      </w:pPr>
      <w:bookmarkStart w:id="12" w:name="_Toc168503871"/>
      <w:r w:rsidRPr="00511019">
        <w:rPr>
          <w:rFonts w:ascii="Times New Roman" w:eastAsia="Calibri" w:hAnsi="Times New Roman" w:cs="Times New Roman"/>
          <w:i/>
          <w:sz w:val="20"/>
          <w:szCs w:val="20"/>
          <w:lang w:val="fr-FR"/>
        </w:rPr>
        <w:t>Tableau 7 : Formule unitaire des gélules n°00</w:t>
      </w:r>
      <w:bookmarkEnd w:id="12"/>
    </w:p>
    <w:tbl>
      <w:tblPr>
        <w:tblStyle w:val="Grilledutableau"/>
        <w:tblW w:w="0" w:type="auto"/>
        <w:jc w:val="center"/>
        <w:tblLook w:val="04A0" w:firstRow="1" w:lastRow="0" w:firstColumn="1" w:lastColumn="0" w:noHBand="0" w:noVBand="1"/>
      </w:tblPr>
      <w:tblGrid>
        <w:gridCol w:w="3136"/>
        <w:gridCol w:w="2727"/>
        <w:gridCol w:w="3533"/>
      </w:tblGrid>
      <w:tr w:rsidR="002C1C73" w:rsidRPr="00511019" w:rsidTr="002C1C73">
        <w:trPr>
          <w:trHeight w:val="424"/>
          <w:jc w:val="center"/>
        </w:trPr>
        <w:tc>
          <w:tcPr>
            <w:tcW w:w="3164" w:type="dxa"/>
            <w:vAlign w:val="center"/>
          </w:tcPr>
          <w:p w:rsidR="002C1C73" w:rsidRPr="00511019" w:rsidRDefault="002C1C73" w:rsidP="002C1C73">
            <w:pPr>
              <w:spacing w:before="80" w:after="80"/>
              <w:jc w:val="center"/>
              <w:rPr>
                <w:rFonts w:ascii="Times New Roman" w:eastAsia="Calibri" w:hAnsi="Times New Roman" w:cs="Times New Roman"/>
                <w:bCs/>
                <w:sz w:val="20"/>
                <w:szCs w:val="20"/>
              </w:rPr>
            </w:pPr>
            <w:r w:rsidRPr="00511019">
              <w:rPr>
                <w:rFonts w:ascii="Times New Roman" w:eastAsia="Calibri" w:hAnsi="Times New Roman" w:cs="Times New Roman"/>
                <w:bCs/>
                <w:sz w:val="20"/>
                <w:szCs w:val="20"/>
              </w:rPr>
              <w:t>Matière première</w:t>
            </w:r>
          </w:p>
        </w:tc>
        <w:tc>
          <w:tcPr>
            <w:tcW w:w="2756" w:type="dxa"/>
            <w:vAlign w:val="center"/>
          </w:tcPr>
          <w:p w:rsidR="002C1C73" w:rsidRPr="00511019" w:rsidRDefault="002C1C73" w:rsidP="002C1C73">
            <w:pPr>
              <w:spacing w:before="80" w:after="80"/>
              <w:jc w:val="center"/>
              <w:rPr>
                <w:rFonts w:ascii="Times New Roman" w:eastAsia="Calibri" w:hAnsi="Times New Roman" w:cs="Times New Roman"/>
                <w:bCs/>
                <w:sz w:val="20"/>
                <w:szCs w:val="20"/>
              </w:rPr>
            </w:pPr>
            <w:r w:rsidRPr="00511019">
              <w:rPr>
                <w:rFonts w:ascii="Times New Roman" w:eastAsia="Calibri" w:hAnsi="Times New Roman" w:cs="Times New Roman"/>
                <w:bCs/>
                <w:sz w:val="20"/>
                <w:szCs w:val="20"/>
              </w:rPr>
              <w:t>Proportion (%)</w:t>
            </w:r>
          </w:p>
        </w:tc>
        <w:tc>
          <w:tcPr>
            <w:tcW w:w="3574" w:type="dxa"/>
            <w:vAlign w:val="center"/>
          </w:tcPr>
          <w:p w:rsidR="002C1C73" w:rsidRPr="00511019" w:rsidRDefault="002C1C73" w:rsidP="002C1C73">
            <w:pPr>
              <w:spacing w:before="80" w:after="80"/>
              <w:jc w:val="center"/>
              <w:rPr>
                <w:rFonts w:ascii="Times New Roman" w:eastAsia="Calibri" w:hAnsi="Times New Roman" w:cs="Times New Roman"/>
                <w:bCs/>
                <w:sz w:val="20"/>
                <w:szCs w:val="20"/>
              </w:rPr>
            </w:pPr>
            <w:r w:rsidRPr="00511019">
              <w:rPr>
                <w:rFonts w:ascii="Times New Roman" w:eastAsia="Calibri" w:hAnsi="Times New Roman" w:cs="Times New Roman"/>
                <w:bCs/>
                <w:sz w:val="20"/>
                <w:szCs w:val="20"/>
              </w:rPr>
              <w:t>Masse (mg)</w:t>
            </w:r>
          </w:p>
        </w:tc>
      </w:tr>
      <w:tr w:rsidR="002C1C73" w:rsidRPr="00511019" w:rsidTr="002C1C73">
        <w:trPr>
          <w:trHeight w:val="558"/>
          <w:jc w:val="center"/>
        </w:trPr>
        <w:tc>
          <w:tcPr>
            <w:tcW w:w="3164"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Poudre de gingembre</w:t>
            </w:r>
          </w:p>
        </w:tc>
        <w:tc>
          <w:tcPr>
            <w:tcW w:w="275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98</w:t>
            </w:r>
          </w:p>
        </w:tc>
        <w:tc>
          <w:tcPr>
            <w:tcW w:w="3574"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bookmarkStart w:id="13" w:name="_Hlk166604752"/>
            <w:r w:rsidRPr="00511019">
              <w:rPr>
                <w:rFonts w:ascii="Times New Roman" w:eastAsia="Calibri" w:hAnsi="Times New Roman" w:cs="Times New Roman"/>
                <w:sz w:val="20"/>
                <w:szCs w:val="20"/>
              </w:rPr>
              <w:t>451,8 mg</w:t>
            </w:r>
          </w:p>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(33,64 mg EAG de polyphénols totaux)</w:t>
            </w:r>
            <w:bookmarkEnd w:id="13"/>
          </w:p>
        </w:tc>
      </w:tr>
      <w:tr w:rsidR="002C1C73" w:rsidRPr="00511019" w:rsidTr="002C1C73">
        <w:trPr>
          <w:trHeight w:val="429"/>
          <w:jc w:val="center"/>
        </w:trPr>
        <w:tc>
          <w:tcPr>
            <w:tcW w:w="3164"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Silice colloïdale anhydre(</w:t>
            </w:r>
            <w:proofErr w:type="spellStart"/>
            <w:r w:rsidRPr="00511019">
              <w:rPr>
                <w:rFonts w:ascii="Times New Roman" w:eastAsia="Calibri" w:hAnsi="Times New Roman" w:cs="Times New Roman"/>
                <w:sz w:val="20"/>
                <w:szCs w:val="20"/>
              </w:rPr>
              <w:t>Aerosil</w:t>
            </w:r>
            <w:proofErr w:type="spellEnd"/>
            <w:r w:rsidRPr="00511019">
              <w:rPr>
                <w:rFonts w:ascii="Times New Roman" w:eastAsia="Calibri" w:hAnsi="Times New Roman" w:cs="Times New Roman"/>
                <w:sz w:val="20"/>
                <w:szCs w:val="20"/>
              </w:rPr>
              <w:t xml:space="preserve"> 300)</w:t>
            </w:r>
          </w:p>
        </w:tc>
        <w:tc>
          <w:tcPr>
            <w:tcW w:w="275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w:t>
            </w:r>
          </w:p>
        </w:tc>
        <w:tc>
          <w:tcPr>
            <w:tcW w:w="3574"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4,6 mg</w:t>
            </w:r>
          </w:p>
        </w:tc>
      </w:tr>
      <w:tr w:rsidR="002C1C73" w:rsidRPr="00511019" w:rsidTr="002C1C73">
        <w:trPr>
          <w:trHeight w:val="576"/>
          <w:jc w:val="center"/>
        </w:trPr>
        <w:tc>
          <w:tcPr>
            <w:tcW w:w="3164"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Cellulose microcristalline (</w:t>
            </w:r>
            <w:proofErr w:type="spellStart"/>
            <w:r w:rsidRPr="00511019">
              <w:rPr>
                <w:rFonts w:ascii="Times New Roman" w:eastAsia="Calibri" w:hAnsi="Times New Roman" w:cs="Times New Roman"/>
                <w:sz w:val="20"/>
                <w:szCs w:val="20"/>
              </w:rPr>
              <w:t>Avicel</w:t>
            </w:r>
            <w:proofErr w:type="spellEnd"/>
            <w:r w:rsidRPr="00511019">
              <w:rPr>
                <w:rFonts w:ascii="Times New Roman" w:eastAsia="Calibri" w:hAnsi="Times New Roman" w:cs="Times New Roman"/>
                <w:sz w:val="20"/>
                <w:szCs w:val="20"/>
              </w:rPr>
              <w:t xml:space="preserve"> PH101)</w:t>
            </w:r>
          </w:p>
        </w:tc>
        <w:tc>
          <w:tcPr>
            <w:tcW w:w="275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w:t>
            </w:r>
          </w:p>
        </w:tc>
        <w:tc>
          <w:tcPr>
            <w:tcW w:w="3574"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4,6 mg</w:t>
            </w:r>
          </w:p>
        </w:tc>
      </w:tr>
      <w:tr w:rsidR="002C1C73" w:rsidRPr="00511019" w:rsidTr="002C1C73">
        <w:trPr>
          <w:trHeight w:val="414"/>
          <w:jc w:val="center"/>
        </w:trPr>
        <w:tc>
          <w:tcPr>
            <w:tcW w:w="3164"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TOTAL</w:t>
            </w:r>
          </w:p>
        </w:tc>
        <w:tc>
          <w:tcPr>
            <w:tcW w:w="2756"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100</w:t>
            </w:r>
          </w:p>
        </w:tc>
        <w:tc>
          <w:tcPr>
            <w:tcW w:w="3574" w:type="dxa"/>
            <w:vAlign w:val="center"/>
          </w:tcPr>
          <w:p w:rsidR="002C1C73" w:rsidRPr="00511019" w:rsidRDefault="002C1C73" w:rsidP="002C1C73">
            <w:pPr>
              <w:spacing w:before="80" w:after="80"/>
              <w:jc w:val="center"/>
              <w:rPr>
                <w:rFonts w:ascii="Times New Roman" w:eastAsia="Calibri" w:hAnsi="Times New Roman" w:cs="Times New Roman"/>
                <w:sz w:val="20"/>
                <w:szCs w:val="20"/>
              </w:rPr>
            </w:pPr>
            <w:r w:rsidRPr="00511019">
              <w:rPr>
                <w:rFonts w:ascii="Times New Roman" w:eastAsia="Calibri" w:hAnsi="Times New Roman" w:cs="Times New Roman"/>
                <w:sz w:val="20"/>
                <w:szCs w:val="20"/>
              </w:rPr>
              <w:t>461 mg</w:t>
            </w:r>
          </w:p>
        </w:tc>
      </w:tr>
    </w:tbl>
    <w:p w:rsidR="002C1C73" w:rsidRPr="00511019" w:rsidRDefault="002C1C73" w:rsidP="002C1C73">
      <w:pPr>
        <w:spacing w:line="360" w:lineRule="auto"/>
        <w:jc w:val="both"/>
        <w:rPr>
          <w:rFonts w:ascii="Times New Roman" w:eastAsia="Calibri" w:hAnsi="Times New Roman" w:cs="Times New Roman"/>
          <w:sz w:val="20"/>
          <w:szCs w:val="20"/>
          <w:lang w:val="fr-FR"/>
        </w:rPr>
      </w:pPr>
    </w:p>
    <w:p w:rsidR="002C1C73" w:rsidRPr="00511019" w:rsidRDefault="00511019" w:rsidP="002C1C73">
      <w:pPr>
        <w:spacing w:line="360" w:lineRule="auto"/>
        <w:ind w:left="720"/>
        <w:contextualSpacing/>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 xml:space="preserve">II.2.5. </w:t>
      </w:r>
      <w:r w:rsidR="002C1C73" w:rsidRPr="00511019">
        <w:rPr>
          <w:rFonts w:ascii="Times New Roman" w:eastAsia="Calibri" w:hAnsi="Times New Roman" w:cs="Times New Roman"/>
          <w:sz w:val="20"/>
          <w:szCs w:val="20"/>
          <w:lang w:val="fr-FR"/>
        </w:rPr>
        <w:t>Posologie.</w:t>
      </w:r>
    </w:p>
    <w:p w:rsidR="002C1C73" w:rsidRPr="00D87D7B" w:rsidRDefault="002C1C73" w:rsidP="002C1C73">
      <w:pPr>
        <w:spacing w:line="360" w:lineRule="auto"/>
        <w:ind w:firstLine="708"/>
        <w:jc w:val="both"/>
        <w:rPr>
          <w:rFonts w:ascii="Times New Roman" w:eastAsia="Calibri" w:hAnsi="Times New Roman" w:cs="Times New Roman"/>
          <w:sz w:val="24"/>
          <w:szCs w:val="24"/>
          <w:lang w:val="fr-FR"/>
        </w:rPr>
      </w:pPr>
      <w:r w:rsidRPr="00511019">
        <w:rPr>
          <w:rFonts w:ascii="Times New Roman" w:eastAsia="Calibri" w:hAnsi="Times New Roman" w:cs="Times New Roman"/>
          <w:sz w:val="20"/>
          <w:szCs w:val="20"/>
          <w:lang w:val="fr-FR"/>
        </w:rPr>
        <w:t>Le nombre journalier de gélules requis est de 9 gélules n°00. Ainsi, la posologie initiale retenue est de 3 gélules en une prise 3 fois par jour (sous réserve des études pharmacocinétiques).</w:t>
      </w:r>
    </w:p>
    <w:p w:rsidR="002C1C73" w:rsidRPr="00F11C7E" w:rsidRDefault="00F11C7E" w:rsidP="002C1C73">
      <w:pPr>
        <w:spacing w:line="360" w:lineRule="auto"/>
        <w:ind w:left="720"/>
        <w:contextualSpacing/>
        <w:jc w:val="both"/>
        <w:rPr>
          <w:rFonts w:ascii="Times New Roman" w:eastAsia="Calibri" w:hAnsi="Times New Roman" w:cs="Times New Roman"/>
          <w:sz w:val="20"/>
          <w:szCs w:val="20"/>
          <w:lang w:val="fr-FR"/>
        </w:rPr>
      </w:pPr>
      <w:r w:rsidRPr="00F11C7E">
        <w:rPr>
          <w:rFonts w:ascii="Times New Roman" w:eastAsia="Calibri" w:hAnsi="Times New Roman" w:cs="Times New Roman"/>
          <w:sz w:val="20"/>
          <w:szCs w:val="20"/>
          <w:lang w:val="fr-FR"/>
        </w:rPr>
        <w:t xml:space="preserve">II.2.6. </w:t>
      </w:r>
      <w:r w:rsidR="002C1C73" w:rsidRPr="00F11C7E">
        <w:rPr>
          <w:rFonts w:ascii="Times New Roman" w:eastAsia="Calibri" w:hAnsi="Times New Roman" w:cs="Times New Roman"/>
          <w:sz w:val="20"/>
          <w:szCs w:val="20"/>
          <w:lang w:val="fr-FR"/>
        </w:rPr>
        <w:t>Contrôle organoleptique.</w:t>
      </w:r>
    </w:p>
    <w:p w:rsidR="002C1C73" w:rsidRPr="00F11C7E" w:rsidRDefault="002C1C73" w:rsidP="002C1C73">
      <w:pPr>
        <w:spacing w:line="360" w:lineRule="auto"/>
        <w:ind w:firstLine="708"/>
        <w:jc w:val="both"/>
        <w:rPr>
          <w:rFonts w:ascii="Times New Roman" w:eastAsia="Calibri" w:hAnsi="Times New Roman" w:cs="Times New Roman"/>
          <w:sz w:val="20"/>
          <w:szCs w:val="20"/>
          <w:lang w:val="fr-FR"/>
        </w:rPr>
      </w:pPr>
      <w:r w:rsidRPr="00F11C7E">
        <w:rPr>
          <w:rFonts w:ascii="Times New Roman" w:eastAsia="Calibri" w:hAnsi="Times New Roman" w:cs="Times New Roman"/>
          <w:sz w:val="20"/>
          <w:szCs w:val="20"/>
          <w:lang w:val="fr-FR"/>
        </w:rPr>
        <w:t>Les gélules obtenues sont uniformes en couleur, en taille et ne présentent aucun défaut macroscopique visible (figure 2).</w:t>
      </w:r>
    </w:p>
    <w:p w:rsidR="002C1C73" w:rsidRPr="00F11C7E" w:rsidRDefault="002C1C73" w:rsidP="002C1C73">
      <w:pPr>
        <w:spacing w:line="360" w:lineRule="auto"/>
        <w:ind w:left="720"/>
        <w:jc w:val="both"/>
        <w:rPr>
          <w:rFonts w:ascii="Times New Roman" w:eastAsia="Calibri" w:hAnsi="Times New Roman" w:cs="Times New Roman"/>
          <w:sz w:val="20"/>
          <w:szCs w:val="20"/>
          <w:lang w:val="fr-FR"/>
        </w:rPr>
      </w:pPr>
      <w:r w:rsidRPr="00D87D7B">
        <w:rPr>
          <w:rFonts w:ascii="Times New Roman" w:eastAsia="Calibri" w:hAnsi="Times New Roman" w:cs="Times New Roman"/>
          <w:noProof/>
        </w:rPr>
        <w:lastRenderedPageBreak/>
        <w:drawing>
          <wp:anchor distT="0" distB="0" distL="114300" distR="114300" simplePos="0" relativeHeight="251659264" behindDoc="1" locked="0" layoutInCell="1" allowOverlap="1" wp14:anchorId="5726DBE1" wp14:editId="08CE3CC1">
            <wp:simplePos x="0" y="0"/>
            <wp:positionH relativeFrom="column">
              <wp:posOffset>3314065</wp:posOffset>
            </wp:positionH>
            <wp:positionV relativeFrom="paragraph">
              <wp:posOffset>10160</wp:posOffset>
            </wp:positionV>
            <wp:extent cx="2741295" cy="2479040"/>
            <wp:effectExtent l="0" t="0" r="1905" b="0"/>
            <wp:wrapTight wrapText="bothSides">
              <wp:wrapPolygon edited="0">
                <wp:start x="21600" y="21600"/>
                <wp:lineTo x="21600" y="188"/>
                <wp:lineTo x="135" y="188"/>
                <wp:lineTo x="135" y="21600"/>
                <wp:lineTo x="21600" y="21600"/>
              </wp:wrapPolygon>
            </wp:wrapTight>
            <wp:docPr id="8494112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0471" t="13279" r="26356" b="14099"/>
                    <a:stretch/>
                  </pic:blipFill>
                  <pic:spPr bwMode="auto">
                    <a:xfrm rot="10800000">
                      <a:off x="0" y="0"/>
                      <a:ext cx="2741295" cy="2479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0F26">
        <w:rPr>
          <w:rFonts w:ascii="Times New Roman" w:eastAsia="Calibri" w:hAnsi="Times New Roman" w:cs="Times New Roman"/>
          <w:sz w:val="24"/>
          <w:szCs w:val="24"/>
          <w:lang w:val="fr-FR"/>
        </w:rPr>
        <w:t xml:space="preserve"> </w:t>
      </w:r>
      <w:r w:rsidR="00F11C7E" w:rsidRPr="00F11C7E">
        <w:rPr>
          <w:rFonts w:ascii="Times New Roman" w:eastAsia="Calibri" w:hAnsi="Times New Roman" w:cs="Times New Roman"/>
          <w:sz w:val="20"/>
          <w:szCs w:val="20"/>
          <w:lang w:val="fr-FR"/>
        </w:rPr>
        <w:t xml:space="preserve">II.2.7. </w:t>
      </w:r>
      <w:r w:rsidRPr="00F11C7E">
        <w:rPr>
          <w:rFonts w:ascii="Times New Roman" w:eastAsia="Calibri" w:hAnsi="Times New Roman" w:cs="Times New Roman"/>
          <w:sz w:val="20"/>
          <w:szCs w:val="20"/>
          <w:lang w:val="fr-FR"/>
        </w:rPr>
        <w:t>Essai d’uniformité de masse.</w:t>
      </w:r>
    </w:p>
    <w:p w:rsidR="002C1C73" w:rsidRPr="00F11C7E" w:rsidRDefault="002C1C73" w:rsidP="002C1C73">
      <w:pPr>
        <w:spacing w:line="360" w:lineRule="auto"/>
        <w:ind w:firstLine="708"/>
        <w:jc w:val="both"/>
        <w:rPr>
          <w:rFonts w:ascii="Times New Roman" w:eastAsia="Calibri" w:hAnsi="Times New Roman" w:cs="Times New Roman"/>
          <w:sz w:val="20"/>
          <w:szCs w:val="20"/>
          <w:lang w:val="fr-FR"/>
        </w:rPr>
      </w:pPr>
      <w:r w:rsidRPr="00F11C7E">
        <w:rPr>
          <w:rFonts w:ascii="Times New Roman" w:eastAsia="Calibri" w:hAnsi="Times New Roman" w:cs="Times New Roman"/>
          <w:sz w:val="20"/>
          <w:szCs w:val="20"/>
          <w:lang w:val="fr-FR"/>
        </w:rPr>
        <w:t>La masse moyenne des gélules était de 595,65 mg, ce qui correspond à un écart tolérable de ± 7,5 %, avec des limites acceptables de 550,98 mg et 640,32 mg. Aucune des capsules de l'échantillon ne dépassait ces limites.</w:t>
      </w:r>
    </w:p>
    <w:p w:rsidR="002C1C73" w:rsidRPr="00F11C7E" w:rsidRDefault="00F11C7E" w:rsidP="002C1C73">
      <w:pPr>
        <w:spacing w:line="360" w:lineRule="auto"/>
        <w:ind w:left="720"/>
        <w:jc w:val="both"/>
        <w:rPr>
          <w:rFonts w:ascii="Times New Roman" w:eastAsia="Calibri" w:hAnsi="Times New Roman" w:cs="Times New Roman"/>
          <w:sz w:val="20"/>
          <w:szCs w:val="20"/>
          <w:lang w:val="fr-FR"/>
        </w:rPr>
      </w:pPr>
      <w:r>
        <w:rPr>
          <w:rFonts w:ascii="Times New Roman" w:eastAsia="Calibri" w:hAnsi="Times New Roman" w:cs="Times New Roman"/>
          <w:sz w:val="20"/>
          <w:szCs w:val="20"/>
          <w:lang w:val="fr-FR"/>
        </w:rPr>
        <w:t xml:space="preserve">II.2.8. </w:t>
      </w:r>
      <w:r w:rsidR="002C1C73" w:rsidRPr="00F11C7E">
        <w:rPr>
          <w:rFonts w:ascii="Times New Roman" w:eastAsia="Calibri" w:hAnsi="Times New Roman" w:cs="Times New Roman"/>
          <w:sz w:val="20"/>
          <w:szCs w:val="20"/>
          <w:lang w:val="fr-FR"/>
        </w:rPr>
        <w:t>Temps de désagrégation.</w:t>
      </w:r>
    </w:p>
    <w:p w:rsidR="002C1C73" w:rsidRPr="00D87D7B" w:rsidRDefault="002C1C73" w:rsidP="002C1C73">
      <w:pPr>
        <w:spacing w:line="360" w:lineRule="auto"/>
        <w:ind w:firstLine="708"/>
        <w:jc w:val="both"/>
        <w:rPr>
          <w:rFonts w:ascii="Times New Roman" w:eastAsia="Calibri" w:hAnsi="Times New Roman" w:cs="Times New Roman"/>
          <w:sz w:val="24"/>
          <w:szCs w:val="24"/>
          <w:lang w:val="fr-FR" w:eastAsia="fr-FR" w:bidi="he-IL"/>
        </w:rPr>
      </w:pPr>
      <w:r w:rsidRPr="00F11C7E">
        <w:rPr>
          <w:rFonts w:ascii="Times New Roman" w:eastAsia="Calibri" w:hAnsi="Times New Roman" w:cs="Times New Roman"/>
          <w:noProof/>
          <w:sz w:val="20"/>
          <w:szCs w:val="20"/>
        </w:rPr>
        <mc:AlternateContent>
          <mc:Choice Requires="wps">
            <w:drawing>
              <wp:anchor distT="0" distB="0" distL="114300" distR="114300" simplePos="0" relativeHeight="251660288" behindDoc="1" locked="0" layoutInCell="1" allowOverlap="1" wp14:anchorId="6AFD6ECF" wp14:editId="1790EBF8">
                <wp:simplePos x="0" y="0"/>
                <wp:positionH relativeFrom="column">
                  <wp:posOffset>3306445</wp:posOffset>
                </wp:positionH>
                <wp:positionV relativeFrom="paragraph">
                  <wp:posOffset>378488</wp:posOffset>
                </wp:positionV>
                <wp:extent cx="2798859" cy="262393"/>
                <wp:effectExtent l="0" t="0" r="0" b="4445"/>
                <wp:wrapTight wrapText="bothSides">
                  <wp:wrapPolygon edited="0">
                    <wp:start x="441" y="0"/>
                    <wp:lineTo x="441" y="20397"/>
                    <wp:lineTo x="21027" y="20397"/>
                    <wp:lineTo x="21027" y="0"/>
                    <wp:lineTo x="441" y="0"/>
                  </wp:wrapPolygon>
                </wp:wrapTight>
                <wp:docPr id="1" name="Zone de texte 1"/>
                <wp:cNvGraphicFramePr/>
                <a:graphic xmlns:a="http://schemas.openxmlformats.org/drawingml/2006/main">
                  <a:graphicData uri="http://schemas.microsoft.com/office/word/2010/wordprocessingShape">
                    <wps:wsp>
                      <wps:cNvSpPr txBox="1"/>
                      <wps:spPr>
                        <a:xfrm>
                          <a:off x="0" y="0"/>
                          <a:ext cx="2798859" cy="262393"/>
                        </a:xfrm>
                        <a:prstGeom prst="rect">
                          <a:avLst/>
                        </a:prstGeom>
                        <a:noFill/>
                        <a:ln w="6350">
                          <a:noFill/>
                        </a:ln>
                      </wps:spPr>
                      <wps:txbx>
                        <w:txbxContent>
                          <w:p w:rsidR="00F11C7E" w:rsidRDefault="00F11C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D6ECF" id="_x0000_t202" coordsize="21600,21600" o:spt="202" path="m,l,21600r21600,l21600,xe">
                <v:stroke joinstyle="miter"/>
                <v:path gradientshapeok="t" o:connecttype="rect"/>
              </v:shapetype>
              <v:shape id="Zone de texte 1" o:spid="_x0000_s1026" type="#_x0000_t202" style="position:absolute;left:0;text-align:left;margin-left:260.35pt;margin-top:29.8pt;width:220.4pt;height:2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" filled="f" stroked="f" strokeweight=".5pt">
                <v:textbox>
                  <w:txbxContent>
                    <w:p w:rsidR="00F11C7E" w:rsidRDefault="00F11C7E"/>
                  </w:txbxContent>
                </v:textbox>
                <w10:wrap type="tight"/>
              </v:shape>
            </w:pict>
          </mc:Fallback>
        </mc:AlternateContent>
      </w:r>
      <w:r w:rsidRPr="00F11C7E">
        <w:rPr>
          <w:rFonts w:ascii="Times New Roman" w:eastAsia="Calibri" w:hAnsi="Times New Roman" w:cs="Times New Roman"/>
          <w:sz w:val="20"/>
          <w:szCs w:val="20"/>
          <w:lang w:val="fr-FR"/>
        </w:rPr>
        <w:t xml:space="preserve">Le temps de désagrégation était de 10 min. D'un point de vue </w:t>
      </w:r>
      <w:proofErr w:type="spellStart"/>
      <w:r w:rsidRPr="00F11C7E">
        <w:rPr>
          <w:rFonts w:ascii="Times New Roman" w:eastAsia="Calibri" w:hAnsi="Times New Roman" w:cs="Times New Roman"/>
          <w:sz w:val="20"/>
          <w:szCs w:val="20"/>
          <w:lang w:val="fr-FR"/>
        </w:rPr>
        <w:t>pharmacotechnique</w:t>
      </w:r>
      <w:proofErr w:type="spellEnd"/>
      <w:r w:rsidRPr="00F11C7E">
        <w:rPr>
          <w:rFonts w:ascii="Times New Roman" w:eastAsia="Calibri" w:hAnsi="Times New Roman" w:cs="Times New Roman"/>
          <w:sz w:val="20"/>
          <w:szCs w:val="20"/>
          <w:lang w:val="fr-FR"/>
        </w:rPr>
        <w:t xml:space="preserve">, les gélules respectaient donc </w:t>
      </w:r>
      <w:r w:rsidRPr="00F11C7E">
        <w:rPr>
          <w:rFonts w:ascii="Times New Roman" w:eastAsia="Calibri" w:hAnsi="Times New Roman" w:cs="Times New Roman"/>
          <w:sz w:val="20"/>
          <w:szCs w:val="20"/>
          <w:lang w:val="fr-FR" w:eastAsia="fr-FR" w:bidi="he-IL"/>
        </w:rPr>
        <w:t>les normes de la Pharmacopée qui exige un temps de désagrégation des gélules inférieur à 30 min</w:t>
      </w:r>
      <w:r w:rsidRPr="00D87D7B">
        <w:rPr>
          <w:rFonts w:ascii="Times New Roman" w:eastAsia="Calibri" w:hAnsi="Times New Roman" w:cs="Times New Roman"/>
          <w:sz w:val="24"/>
          <w:szCs w:val="24"/>
          <w:lang w:val="fr-FR" w:eastAsia="fr-FR" w:bidi="he-IL"/>
        </w:rPr>
        <w:t>.</w:t>
      </w:r>
    </w:p>
    <w:p w:rsidR="00F11C7E" w:rsidRPr="00F11C7E" w:rsidRDefault="00F11C7E" w:rsidP="00F11C7E">
      <w:pPr>
        <w:rPr>
          <w:sz w:val="20"/>
          <w:szCs w:val="20"/>
          <w:lang w:val="fr-CM"/>
        </w:rPr>
      </w:pPr>
      <w:r>
        <w:rPr>
          <w:rFonts w:ascii="Times New Roman" w:eastAsia="Calibri" w:hAnsi="Times New Roman" w:cs="Times New Roman"/>
          <w:sz w:val="20"/>
          <w:szCs w:val="20"/>
          <w:lang w:val="fr-FR"/>
        </w:rPr>
        <w:t xml:space="preserve">II.2.9. </w:t>
      </w:r>
      <w:r w:rsidR="002C1C73" w:rsidRPr="00F11C7E">
        <w:rPr>
          <w:rFonts w:ascii="Times New Roman" w:eastAsia="Calibri" w:hAnsi="Times New Roman" w:cs="Times New Roman"/>
          <w:sz w:val="20"/>
          <w:szCs w:val="20"/>
          <w:lang w:val="fr-FR"/>
        </w:rPr>
        <w:t>Contrôle microbiologique.</w:t>
      </w:r>
      <w:r w:rsidRPr="00F11C7E">
        <w:rPr>
          <w:rFonts w:ascii="Times New Roman" w:eastAsia="Calibri" w:hAnsi="Times New Roman" w:cs="Times New Roman"/>
          <w:sz w:val="20"/>
          <w:szCs w:val="20"/>
          <w:lang w:val="fr-FR"/>
        </w:rPr>
        <w:t xml:space="preserve">                                                               </w:t>
      </w:r>
      <w:r w:rsidRPr="00F11C7E">
        <w:rPr>
          <w:rFonts w:ascii="Times New Roman" w:eastAsia="Calibri" w:hAnsi="Times New Roman" w:cs="Times New Roman"/>
          <w:i/>
          <w:sz w:val="20"/>
          <w:szCs w:val="20"/>
          <w:lang w:val="fr-FR"/>
        </w:rPr>
        <w:t xml:space="preserve"> </w:t>
      </w:r>
      <w:r w:rsidRPr="00F11C7E">
        <w:rPr>
          <w:rFonts w:ascii="Times New Roman" w:eastAsia="Calibri" w:hAnsi="Times New Roman" w:cs="Times New Roman"/>
          <w:i/>
          <w:sz w:val="20"/>
          <w:szCs w:val="20"/>
          <w:lang w:val="fr-FR"/>
        </w:rPr>
        <w:t xml:space="preserve">Figure 2 : Gélules de gingembre </w:t>
      </w:r>
    </w:p>
    <w:p w:rsidR="002C1C73" w:rsidRPr="00F11C7E" w:rsidRDefault="002C1C73" w:rsidP="002C1C73">
      <w:pPr>
        <w:spacing w:line="360" w:lineRule="auto"/>
        <w:ind w:left="720"/>
        <w:contextualSpacing/>
        <w:jc w:val="both"/>
        <w:rPr>
          <w:rFonts w:ascii="Times New Roman" w:eastAsia="Calibri" w:hAnsi="Times New Roman" w:cs="Times New Roman"/>
          <w:sz w:val="20"/>
          <w:szCs w:val="20"/>
          <w:lang w:val="fr-FR"/>
        </w:rPr>
      </w:pPr>
    </w:p>
    <w:p w:rsidR="002C1C73" w:rsidRPr="00F11C7E" w:rsidRDefault="002C1C73" w:rsidP="002C1C73">
      <w:pPr>
        <w:spacing w:line="360" w:lineRule="auto"/>
        <w:ind w:firstLine="708"/>
        <w:jc w:val="both"/>
        <w:rPr>
          <w:rFonts w:ascii="Times New Roman" w:eastAsia="Calibri" w:hAnsi="Times New Roman" w:cs="Times New Roman"/>
          <w:sz w:val="20"/>
          <w:szCs w:val="20"/>
          <w:lang w:val="fr-FR"/>
        </w:rPr>
      </w:pPr>
      <w:r w:rsidRPr="00F11C7E">
        <w:rPr>
          <w:rFonts w:ascii="Calibri" w:eastAsia="Calibri" w:hAnsi="Calibri" w:cs="Times New Roman"/>
          <w:noProof/>
          <w:sz w:val="20"/>
          <w:szCs w:val="20"/>
        </w:rPr>
        <w:drawing>
          <wp:anchor distT="0" distB="0" distL="114300" distR="114300" simplePos="0" relativeHeight="251661312" behindDoc="1" locked="0" layoutInCell="1" allowOverlap="1" wp14:anchorId="2DB94ACF" wp14:editId="3877A624">
            <wp:simplePos x="0" y="0"/>
            <wp:positionH relativeFrom="column">
              <wp:posOffset>4175125</wp:posOffset>
            </wp:positionH>
            <wp:positionV relativeFrom="paragraph">
              <wp:posOffset>4445</wp:posOffset>
            </wp:positionV>
            <wp:extent cx="2275205" cy="2537460"/>
            <wp:effectExtent l="0" t="0" r="0" b="0"/>
            <wp:wrapTight wrapText="bothSides">
              <wp:wrapPolygon edited="0">
                <wp:start x="0" y="0"/>
                <wp:lineTo x="0" y="21405"/>
                <wp:lineTo x="21341" y="21405"/>
                <wp:lineTo x="21341" y="0"/>
                <wp:lineTo x="0" y="0"/>
              </wp:wrapPolygon>
            </wp:wrapTight>
            <wp:docPr id="14609613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991" t="14923" r="6774" b="30627"/>
                    <a:stretch/>
                  </pic:blipFill>
                  <pic:spPr bwMode="auto">
                    <a:xfrm>
                      <a:off x="0" y="0"/>
                      <a:ext cx="2275205" cy="2537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1C7E">
        <w:rPr>
          <w:rFonts w:ascii="Times New Roman" w:eastAsia="Calibri" w:hAnsi="Times New Roman" w:cs="Times New Roman"/>
          <w:sz w:val="20"/>
          <w:szCs w:val="20"/>
          <w:lang w:val="fr-FR"/>
        </w:rPr>
        <w:t>Le dénombrement des germes aérobies totaux (DGAT) a donné 25 UFC/g et les moisissures et levures étaient absents (DMLT= 0 UFC/g). Il n'y avait ni</w:t>
      </w:r>
      <w:r w:rsidRPr="00F11C7E">
        <w:rPr>
          <w:rFonts w:ascii="Times New Roman" w:eastAsia="Calibri" w:hAnsi="Times New Roman" w:cs="Times New Roman"/>
          <w:i/>
          <w:sz w:val="20"/>
          <w:szCs w:val="20"/>
          <w:lang w:val="fr-FR"/>
        </w:rPr>
        <w:t xml:space="preserve"> E. Coli,</w:t>
      </w:r>
      <w:r w:rsidRPr="00F11C7E">
        <w:rPr>
          <w:rFonts w:ascii="Times New Roman" w:eastAsia="Calibri" w:hAnsi="Times New Roman" w:cs="Times New Roman"/>
          <w:sz w:val="20"/>
          <w:szCs w:val="20"/>
          <w:lang w:val="fr-FR"/>
        </w:rPr>
        <w:t xml:space="preserve"> ni </w:t>
      </w:r>
      <w:r w:rsidRPr="00F11C7E">
        <w:rPr>
          <w:rFonts w:ascii="Times New Roman" w:eastAsia="Calibri" w:hAnsi="Times New Roman" w:cs="Times New Roman"/>
          <w:i/>
          <w:iCs/>
          <w:sz w:val="20"/>
          <w:szCs w:val="20"/>
          <w:lang w:val="fr-FR"/>
        </w:rPr>
        <w:t>Staphylococcus aureus,</w:t>
      </w:r>
      <w:r w:rsidRPr="00F11C7E">
        <w:rPr>
          <w:rFonts w:ascii="Times New Roman" w:eastAsia="Calibri" w:hAnsi="Times New Roman" w:cs="Times New Roman"/>
          <w:sz w:val="20"/>
          <w:szCs w:val="20"/>
          <w:lang w:val="fr-FR"/>
        </w:rPr>
        <w:t xml:space="preserve"> ni des Entérocoques. Donc du point de vue microbiologique, les gélules respectaient également les recommandations de la Pharmacopée Européenne 9</w:t>
      </w:r>
      <w:r w:rsidRPr="00F11C7E">
        <w:rPr>
          <w:rFonts w:ascii="Times New Roman" w:eastAsia="Calibri" w:hAnsi="Times New Roman" w:cs="Times New Roman"/>
          <w:sz w:val="20"/>
          <w:szCs w:val="20"/>
          <w:vertAlign w:val="superscript"/>
          <w:lang w:val="fr-FR"/>
        </w:rPr>
        <w:t>e</w:t>
      </w:r>
      <w:r w:rsidRPr="00F11C7E">
        <w:rPr>
          <w:rFonts w:ascii="Times New Roman" w:eastAsia="Calibri" w:hAnsi="Times New Roman" w:cs="Times New Roman"/>
          <w:sz w:val="20"/>
          <w:szCs w:val="20"/>
          <w:lang w:val="fr-FR"/>
        </w:rPr>
        <w:t xml:space="preserve"> édition.</w:t>
      </w:r>
      <w:r w:rsidRPr="00F11C7E">
        <w:rPr>
          <w:rFonts w:ascii="Calibri" w:eastAsia="Calibri" w:hAnsi="Calibri" w:cs="Times New Roman"/>
          <w:noProof/>
          <w:sz w:val="20"/>
          <w:szCs w:val="20"/>
          <w:lang w:val="fr-CM"/>
        </w:rPr>
        <w:t xml:space="preserve"> </w:t>
      </w:r>
    </w:p>
    <w:p w:rsidR="002C1C73" w:rsidRPr="00F11C7E" w:rsidRDefault="00F11C7E" w:rsidP="002C1C73">
      <w:pPr>
        <w:spacing w:line="360" w:lineRule="auto"/>
        <w:ind w:left="720"/>
        <w:jc w:val="both"/>
        <w:rPr>
          <w:rFonts w:ascii="Times New Roman" w:eastAsia="Calibri" w:hAnsi="Times New Roman" w:cs="Times New Roman"/>
          <w:sz w:val="20"/>
          <w:szCs w:val="20"/>
          <w:lang w:val="fr-FR"/>
        </w:rPr>
      </w:pPr>
      <w:r w:rsidRPr="00F11C7E">
        <w:rPr>
          <w:rFonts w:ascii="Times New Roman" w:eastAsia="Calibri" w:hAnsi="Times New Roman" w:cs="Times New Roman"/>
          <w:sz w:val="20"/>
          <w:szCs w:val="20"/>
          <w:lang w:val="fr-FR"/>
        </w:rPr>
        <w:t xml:space="preserve">II.2.10. </w:t>
      </w:r>
      <w:r w:rsidR="002C1C73" w:rsidRPr="00F11C7E">
        <w:rPr>
          <w:rFonts w:ascii="Times New Roman" w:eastAsia="Calibri" w:hAnsi="Times New Roman" w:cs="Times New Roman"/>
          <w:sz w:val="20"/>
          <w:szCs w:val="20"/>
          <w:lang w:val="fr-FR"/>
        </w:rPr>
        <w:t xml:space="preserve">Conditionnement et étiquetage               </w:t>
      </w:r>
    </w:p>
    <w:p w:rsidR="00F11C7E" w:rsidRDefault="002C1C73" w:rsidP="00F11C7E">
      <w:r w:rsidRPr="00F11C7E">
        <w:rPr>
          <w:rFonts w:ascii="Times New Roman" w:eastAsia="Calibri" w:hAnsi="Times New Roman" w:cs="Times New Roman"/>
          <w:noProof/>
          <w:sz w:val="20"/>
          <w:szCs w:val="20"/>
        </w:rPr>
        <mc:AlternateContent>
          <mc:Choice Requires="wps">
            <w:drawing>
              <wp:anchor distT="0" distB="0" distL="114300" distR="114300" simplePos="0" relativeHeight="251662336" behindDoc="1" locked="0" layoutInCell="1" allowOverlap="1" wp14:anchorId="612D7CBB" wp14:editId="291700FB">
                <wp:simplePos x="0" y="0"/>
                <wp:positionH relativeFrom="column">
                  <wp:posOffset>4211016</wp:posOffset>
                </wp:positionH>
                <wp:positionV relativeFrom="paragraph">
                  <wp:posOffset>301625</wp:posOffset>
                </wp:positionV>
                <wp:extent cx="2265680" cy="357505"/>
                <wp:effectExtent l="0" t="0" r="0" b="4445"/>
                <wp:wrapTight wrapText="bothSides">
                  <wp:wrapPolygon edited="0">
                    <wp:start x="545" y="0"/>
                    <wp:lineTo x="545" y="20718"/>
                    <wp:lineTo x="20886" y="20718"/>
                    <wp:lineTo x="20886" y="0"/>
                    <wp:lineTo x="545" y="0"/>
                  </wp:wrapPolygon>
                </wp:wrapTight>
                <wp:docPr id="3" name="Zone de texte 3"/>
                <wp:cNvGraphicFramePr/>
                <a:graphic xmlns:a="http://schemas.openxmlformats.org/drawingml/2006/main">
                  <a:graphicData uri="http://schemas.microsoft.com/office/word/2010/wordprocessingShape">
                    <wps:wsp>
                      <wps:cNvSpPr txBox="1"/>
                      <wps:spPr>
                        <a:xfrm>
                          <a:off x="0" y="0"/>
                          <a:ext cx="2265680" cy="357505"/>
                        </a:xfrm>
                        <a:prstGeom prst="rect">
                          <a:avLst/>
                        </a:prstGeom>
                        <a:noFill/>
                        <a:ln w="6350">
                          <a:noFill/>
                        </a:ln>
                      </wps:spPr>
                      <wps:txbx>
                        <w:txbxContent>
                          <w:p w:rsidR="00F11C7E" w:rsidRDefault="00F11C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2D7CBB" id="Zone de texte 3" o:spid="_x0000_s1027" type="#_x0000_t202" style="position:absolute;margin-left:331.6pt;margin-top:23.75pt;width:178.4pt;height:28.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" filled="f" stroked="f" strokeweight=".5pt">
                <v:textbox>
                  <w:txbxContent>
                    <w:p w:rsidR="00F11C7E" w:rsidRDefault="00F11C7E"/>
                  </w:txbxContent>
                </v:textbox>
                <w10:wrap type="tight"/>
              </v:shape>
            </w:pict>
          </mc:Fallback>
        </mc:AlternateContent>
      </w:r>
      <w:r w:rsidRPr="00F11C7E">
        <w:rPr>
          <w:rFonts w:ascii="Times New Roman" w:eastAsia="Calibri" w:hAnsi="Times New Roman" w:cs="Times New Roman"/>
          <w:sz w:val="20"/>
          <w:szCs w:val="20"/>
          <w:lang w:val="fr-FR"/>
        </w:rPr>
        <w:t>Les gélules finies ont été conditionnées dans des boîtes de 90 unités (Figure 3), chacune correspondant à un traitement pour un adulte. Chaque boîte porte le nom commercial proposé (DIAGIN*), ainsi que les informations réglementaires de traçabilité et d’identification.</w:t>
      </w:r>
      <w:bookmarkStart w:id="14" w:name="_Toc168503882"/>
      <w:r w:rsidR="00F11C7E" w:rsidRPr="00F11C7E">
        <w:rPr>
          <w:rFonts w:ascii="Times New Roman" w:eastAsia="Calibri" w:hAnsi="Times New Roman" w:cs="Times New Roman"/>
          <w:i/>
          <w:lang w:val="fr-FR"/>
        </w:rPr>
        <w:t xml:space="preserve"> </w:t>
      </w:r>
      <w:bookmarkEnd w:id="14"/>
    </w:p>
    <w:p w:rsidR="00F11C7E" w:rsidRDefault="002C1C73" w:rsidP="002C1C73">
      <w:pPr>
        <w:rPr>
          <w:rFonts w:ascii="Times New Roman" w:eastAsia="Calibri" w:hAnsi="Times New Roman" w:cs="Times New Roman"/>
          <w:lang w:val="fr-FR"/>
        </w:rPr>
      </w:pPr>
      <w:bookmarkStart w:id="15" w:name="_Toc168503881"/>
      <w:r w:rsidRPr="00D87D7B">
        <w:rPr>
          <w:rFonts w:ascii="Times New Roman" w:eastAsia="Calibri" w:hAnsi="Times New Roman" w:cs="Times New Roman"/>
          <w:lang w:val="fr-FR"/>
        </w:rPr>
        <w:t xml:space="preserve">                       </w:t>
      </w:r>
      <w:bookmarkEnd w:id="15"/>
    </w:p>
    <w:p w:rsidR="002C1C73" w:rsidRPr="00660F26" w:rsidRDefault="00F11C7E" w:rsidP="002C1C73">
      <w:pPr>
        <w:rPr>
          <w:lang w:val="fr-CM"/>
        </w:rPr>
      </w:pPr>
      <w:r>
        <w:rPr>
          <w:rFonts w:ascii="Times New Roman" w:eastAsia="Calibri" w:hAnsi="Times New Roman" w:cs="Times New Roman"/>
          <w:lang w:val="fr-FR"/>
        </w:rPr>
        <w:t xml:space="preserve">                                                                                                                             </w:t>
      </w:r>
      <w:r w:rsidRPr="00D87D7B">
        <w:rPr>
          <w:rFonts w:ascii="Times New Roman" w:eastAsia="Calibri" w:hAnsi="Times New Roman" w:cs="Times New Roman"/>
          <w:i/>
          <w:lang w:val="fr-FR"/>
        </w:rPr>
        <w:t xml:space="preserve">Figure 3 : </w:t>
      </w:r>
      <w:r>
        <w:rPr>
          <w:rFonts w:ascii="Times New Roman" w:eastAsia="Calibri" w:hAnsi="Times New Roman" w:cs="Times New Roman"/>
          <w:i/>
          <w:lang w:val="fr-FR"/>
        </w:rPr>
        <w:t>C</w:t>
      </w:r>
      <w:r w:rsidRPr="00D87D7B">
        <w:rPr>
          <w:rFonts w:ascii="Times New Roman" w:eastAsia="Calibri" w:hAnsi="Times New Roman" w:cs="Times New Roman"/>
          <w:i/>
          <w:lang w:val="fr-FR"/>
        </w:rPr>
        <w:t>onditionnement</w:t>
      </w:r>
    </w:p>
    <w:p w:rsidR="002C1C73" w:rsidRPr="00D410DA" w:rsidRDefault="002C1C73" w:rsidP="002C1C73">
      <w:pPr>
        <w:numPr>
          <w:ilvl w:val="0"/>
          <w:numId w:val="1"/>
        </w:numPr>
        <w:spacing w:line="360" w:lineRule="auto"/>
        <w:contextualSpacing/>
        <w:jc w:val="both"/>
        <w:rPr>
          <w:rFonts w:ascii="Times New Roman" w:eastAsia="Calibri" w:hAnsi="Times New Roman" w:cs="Times New Roman"/>
          <w:b/>
          <w:bCs/>
          <w:sz w:val="24"/>
          <w:szCs w:val="24"/>
          <w:lang w:val="fr-FR"/>
        </w:rPr>
      </w:pPr>
      <w:r w:rsidRPr="00D410DA">
        <w:rPr>
          <w:rFonts w:ascii="Times New Roman" w:eastAsia="Calibri" w:hAnsi="Times New Roman" w:cs="Times New Roman"/>
          <w:b/>
          <w:bCs/>
          <w:sz w:val="24"/>
          <w:szCs w:val="24"/>
          <w:lang w:val="fr-FR"/>
        </w:rPr>
        <w:t>Discussion</w:t>
      </w:r>
    </w:p>
    <w:p w:rsidR="002C1C73" w:rsidRPr="00D410DA" w:rsidRDefault="002C1C73" w:rsidP="002C1C73">
      <w:pPr>
        <w:spacing w:line="360" w:lineRule="auto"/>
        <w:ind w:firstLine="708"/>
        <w:jc w:val="both"/>
        <w:rPr>
          <w:rFonts w:ascii="Times New Roman" w:eastAsia="Times New Roman" w:hAnsi="Times New Roman" w:cs="Times New Roman"/>
          <w:sz w:val="20"/>
          <w:szCs w:val="20"/>
          <w:lang w:val="fr-FR"/>
        </w:rPr>
      </w:pPr>
      <w:r w:rsidRPr="00D410DA">
        <w:rPr>
          <w:rFonts w:ascii="Times New Roman" w:eastAsia="Times New Roman" w:hAnsi="Times New Roman" w:cs="Times New Roman"/>
          <w:sz w:val="20"/>
          <w:szCs w:val="20"/>
          <w:lang w:val="fr-FR"/>
        </w:rPr>
        <w:t xml:space="preserve">La poudre brute était de couleur jaune clair, d’odeur piquante et de saveur poivrée. Ce goût désagréable était de nature à influencer négativement l’observance du traitement. Le choix de cette forme galénique (gélule) était bien judicieux pour pallier à cet inconvénient. </w:t>
      </w:r>
    </w:p>
    <w:p w:rsidR="002C1C73" w:rsidRPr="00D410DA" w:rsidRDefault="002C1C73" w:rsidP="002C1C73">
      <w:pPr>
        <w:spacing w:line="360" w:lineRule="auto"/>
        <w:ind w:firstLine="708"/>
        <w:jc w:val="both"/>
        <w:rPr>
          <w:rFonts w:ascii="Times New Roman" w:eastAsia="Times New Roman" w:hAnsi="Times New Roman" w:cs="Times New Roman"/>
          <w:sz w:val="20"/>
          <w:szCs w:val="20"/>
          <w:lang w:val="fr-FR"/>
        </w:rPr>
      </w:pPr>
      <w:r w:rsidRPr="00D410DA">
        <w:rPr>
          <w:rFonts w:ascii="Times New Roman" w:eastAsia="Times New Roman" w:hAnsi="Times New Roman" w:cs="Times New Roman"/>
          <w:sz w:val="20"/>
          <w:szCs w:val="20"/>
          <w:lang w:val="fr-FR"/>
        </w:rPr>
        <w:t xml:space="preserve">Les résultats du criblage </w:t>
      </w:r>
      <w:proofErr w:type="spellStart"/>
      <w:r w:rsidRPr="00D410DA">
        <w:rPr>
          <w:rFonts w:ascii="Times New Roman" w:eastAsia="Times New Roman" w:hAnsi="Times New Roman" w:cs="Times New Roman"/>
          <w:sz w:val="20"/>
          <w:szCs w:val="20"/>
          <w:lang w:val="fr-FR"/>
        </w:rPr>
        <w:t>phytochimique</w:t>
      </w:r>
      <w:proofErr w:type="spellEnd"/>
      <w:r w:rsidRPr="00D410DA">
        <w:rPr>
          <w:rFonts w:ascii="Times New Roman" w:eastAsia="Times New Roman" w:hAnsi="Times New Roman" w:cs="Times New Roman"/>
          <w:sz w:val="20"/>
          <w:szCs w:val="20"/>
          <w:lang w:val="fr-FR"/>
        </w:rPr>
        <w:t xml:space="preserve"> ont confirmé ceux de </w:t>
      </w:r>
      <w:proofErr w:type="spellStart"/>
      <w:r w:rsidRPr="00D410DA">
        <w:rPr>
          <w:rFonts w:ascii="Times New Roman" w:eastAsia="Calibri" w:hAnsi="Times New Roman" w:cs="Times New Roman"/>
          <w:sz w:val="20"/>
          <w:szCs w:val="20"/>
          <w:lang w:val="fr-FR"/>
        </w:rPr>
        <w:t>Abdelli</w:t>
      </w:r>
      <w:proofErr w:type="spellEnd"/>
      <w:r w:rsidRPr="00D410DA">
        <w:rPr>
          <w:rFonts w:ascii="Times New Roman" w:eastAsia="Calibri" w:hAnsi="Times New Roman" w:cs="Times New Roman"/>
          <w:sz w:val="20"/>
          <w:szCs w:val="20"/>
          <w:lang w:val="fr-FR"/>
        </w:rPr>
        <w:t xml:space="preserve"> et al</w:t>
      </w:r>
      <w:r w:rsidRPr="00D410DA">
        <w:rPr>
          <w:rFonts w:ascii="Times New Roman" w:eastAsia="Calibri" w:hAnsi="Times New Roman" w:cs="Times New Roman"/>
          <w:sz w:val="20"/>
          <w:szCs w:val="20"/>
          <w:lang w:val="fr-FR"/>
        </w:rPr>
        <w:fldChar w:fldCharType="begin"/>
      </w:r>
      <w:r w:rsidRPr="00D410DA">
        <w:rPr>
          <w:rFonts w:ascii="Times New Roman" w:eastAsia="Calibri" w:hAnsi="Times New Roman" w:cs="Times New Roman"/>
          <w:sz w:val="20"/>
          <w:szCs w:val="20"/>
          <w:lang w:val="fr-FR"/>
        </w:rPr>
        <w:instrText xml:space="preserve"> ADDIN ZOTERO_ITEM CSL_CITATION {"citationID":"CaK8DOjN","properties":{"formattedCitation":"[10]","plainCitation":"[10]","noteIndex":0},"citationItems":[{"id":136,"uris":["http://zotero.org/users/13638572/items/WUWFGD6Y"],"itemData":{"id":136,"type":"thesis","genre":"PhD Thesis","publisher":"Université Mouloud Mammeri","source":"Google Scholar","title":"Extraction des huiles essentielles et des extrait phénoliques du gingembre (Zingiber officinale), caractérisation de leurs activités biologiques–caractérisation physicochimique, phytochimique du gingembre","URL":"https://dspace.ummto.dz/items/3876c5e6-34c6-43c4-a307-3d18fdb5b626","author":[{"family":"Abdelli","given":"Salim"},{"family":"Ait El Menceur","given":"Amina"}],"accessed":{"date-parts":[["2024",5,16]]},"issued":{"date-parts":[["2023"]]}}}],"schema":"https://github.com/citation-style-language/schema/raw/master/csl-citation.json"} </w:instrText>
      </w:r>
      <w:r w:rsidRPr="00D410DA">
        <w:rPr>
          <w:rFonts w:ascii="Times New Roman" w:eastAsia="Calibri" w:hAnsi="Times New Roman" w:cs="Times New Roman"/>
          <w:sz w:val="20"/>
          <w:szCs w:val="20"/>
          <w:lang w:val="fr-FR"/>
        </w:rPr>
        <w:fldChar w:fldCharType="separate"/>
      </w:r>
      <w:r w:rsidRPr="00D410DA">
        <w:rPr>
          <w:rFonts w:ascii="Times New Roman" w:eastAsia="Calibri" w:hAnsi="Times New Roman" w:cs="Times New Roman"/>
          <w:sz w:val="20"/>
          <w:szCs w:val="20"/>
          <w:lang w:val="fr-FR"/>
        </w:rPr>
        <w:t>[10]</w:t>
      </w:r>
      <w:r w:rsidRPr="00D410DA">
        <w:rPr>
          <w:rFonts w:ascii="Times New Roman" w:eastAsia="Calibri" w:hAnsi="Times New Roman" w:cs="Times New Roman"/>
          <w:sz w:val="20"/>
          <w:szCs w:val="20"/>
          <w:lang w:val="fr-FR"/>
        </w:rPr>
        <w:fldChar w:fldCharType="end"/>
      </w:r>
      <w:r w:rsidRPr="00D410DA">
        <w:rPr>
          <w:rFonts w:ascii="Times New Roman" w:eastAsia="Calibri" w:hAnsi="Times New Roman" w:cs="Times New Roman"/>
          <w:sz w:val="20"/>
          <w:szCs w:val="20"/>
          <w:lang w:val="fr-FR"/>
        </w:rPr>
        <w:t xml:space="preserve"> qui</w:t>
      </w:r>
      <w:r w:rsidRPr="00D410DA">
        <w:rPr>
          <w:rFonts w:ascii="Times New Roman" w:eastAsia="Times New Roman" w:hAnsi="Times New Roman" w:cs="Times New Roman"/>
          <w:sz w:val="20"/>
          <w:szCs w:val="20"/>
          <w:lang w:val="fr-FR"/>
        </w:rPr>
        <w:t xml:space="preserve"> avaient noté la présence </w:t>
      </w:r>
      <w:r w:rsidRPr="00D410DA">
        <w:rPr>
          <w:rFonts w:ascii="Times New Roman" w:eastAsia="Calibri" w:hAnsi="Times New Roman" w:cs="Times New Roman"/>
          <w:sz w:val="20"/>
          <w:szCs w:val="20"/>
          <w:lang w:val="fr-FR"/>
        </w:rPr>
        <w:t>dans les deux poudres des flavonoïdes, des alcaloïdes et surtout des</w:t>
      </w:r>
      <w:r w:rsidRPr="00D410DA">
        <w:rPr>
          <w:rFonts w:ascii="Times New Roman" w:eastAsia="Times New Roman" w:hAnsi="Times New Roman" w:cs="Times New Roman"/>
          <w:sz w:val="20"/>
          <w:szCs w:val="20"/>
          <w:lang w:val="fr-FR"/>
        </w:rPr>
        <w:t xml:space="preserve"> polyphénols  responsables de l’activité antidiabétique des rhizomes de </w:t>
      </w:r>
      <w:proofErr w:type="spellStart"/>
      <w:r w:rsidRPr="00D410DA">
        <w:rPr>
          <w:rFonts w:ascii="Times New Roman" w:eastAsia="Times New Roman" w:hAnsi="Times New Roman" w:cs="Times New Roman"/>
          <w:i/>
          <w:iCs/>
          <w:sz w:val="20"/>
          <w:szCs w:val="20"/>
          <w:lang w:val="fr-FR"/>
        </w:rPr>
        <w:t>Zingiber</w:t>
      </w:r>
      <w:proofErr w:type="spellEnd"/>
      <w:r w:rsidRPr="00D410DA">
        <w:rPr>
          <w:rFonts w:ascii="Times New Roman" w:eastAsia="Times New Roman" w:hAnsi="Times New Roman" w:cs="Times New Roman"/>
          <w:i/>
          <w:iCs/>
          <w:sz w:val="20"/>
          <w:szCs w:val="20"/>
          <w:lang w:val="fr-FR"/>
        </w:rPr>
        <w:t xml:space="preserve"> officinale</w:t>
      </w:r>
      <w:r w:rsidRPr="00D410DA">
        <w:rPr>
          <w:rFonts w:ascii="Times New Roman" w:eastAsia="Times New Roman" w:hAnsi="Times New Roman" w:cs="Times New Roman"/>
          <w:sz w:val="20"/>
          <w:szCs w:val="20"/>
          <w:lang w:val="fr-FR"/>
        </w:rPr>
        <w:fldChar w:fldCharType="begin"/>
      </w:r>
      <w:r w:rsidRPr="00D410DA">
        <w:rPr>
          <w:rFonts w:ascii="Times New Roman" w:eastAsia="Times New Roman" w:hAnsi="Times New Roman" w:cs="Times New Roman"/>
          <w:sz w:val="20"/>
          <w:szCs w:val="20"/>
          <w:lang w:val="fr-FR"/>
        </w:rPr>
        <w:instrText xml:space="preserve"> ADDIN ZOTERO_ITEM CSL_CITATION {"citationID":"Z40hXksL","properties":{"formattedCitation":"[5,11]","plainCitation":"[5,11]","noteIndex":0},"citationItems":[{"id":63,"uris":["http://zotero.org/users/13638572/items/WZBD6XUG"],"itemData":{"id":63,"type":"thesis","genre":"PhD Thesis","source":"Google Scholar","title":"Etude comparative de l'effet préventif du gingembre et du nadh sur un modéle de diabéte induit par la stréptozotocine chez le rat Wistar","URL":"http://dspace.univ-medea.dz/handle/123456789/8937","author":[{"family":"Bahria","given":"Karima"},{"family":"Benachour","given":"K."}],"accessed":{"date-parts":[["2023",11,25]]},"issued":{"date-parts":[["2017"]]}}},{"id":122,"uris":["http://zotero.org/users/13638572/items/DASWXVMY"],"itemData":{"id":122,"type":"article-journal","container-title":"Journal indonésien de médecine","title":"Effect of Zingiber officinale Rhizome Powder on Fasting Blood Sugar Levels and HbA1c in Type 2 Diabetes Mellitus Patients: A Meta-Analysis","author":[{"family":"Fajar","given":"Novianto"},{"family":"Didik","given":"Gunawan"},{"family":"Hanung","given":"Prasetya"}],"issued":{"date-parts":[["2022"]]}}}],"schema":"https://github.com/citation-style-language/schema/raw/master/csl-citation.json"} </w:instrText>
      </w:r>
      <w:r w:rsidRPr="00D410DA">
        <w:rPr>
          <w:rFonts w:ascii="Times New Roman" w:eastAsia="Times New Roman" w:hAnsi="Times New Roman" w:cs="Times New Roman"/>
          <w:sz w:val="20"/>
          <w:szCs w:val="20"/>
          <w:lang w:val="fr-FR"/>
        </w:rPr>
        <w:fldChar w:fldCharType="separate"/>
      </w:r>
      <w:r w:rsidRPr="00D410DA">
        <w:rPr>
          <w:rFonts w:ascii="Times New Roman" w:eastAsia="Calibri" w:hAnsi="Times New Roman" w:cs="Times New Roman"/>
          <w:sz w:val="20"/>
          <w:szCs w:val="20"/>
          <w:lang w:val="fr-FR"/>
        </w:rPr>
        <w:t>[5,11]</w:t>
      </w:r>
      <w:r w:rsidRPr="00D410DA">
        <w:rPr>
          <w:rFonts w:ascii="Times New Roman" w:eastAsia="Times New Roman" w:hAnsi="Times New Roman" w:cs="Times New Roman"/>
          <w:sz w:val="20"/>
          <w:szCs w:val="20"/>
          <w:lang w:val="fr-FR"/>
        </w:rPr>
        <w:fldChar w:fldCharType="end"/>
      </w:r>
      <w:r w:rsidRPr="00D410DA">
        <w:rPr>
          <w:rFonts w:ascii="Times New Roman" w:eastAsia="Times New Roman" w:hAnsi="Times New Roman" w:cs="Times New Roman"/>
          <w:sz w:val="20"/>
          <w:szCs w:val="20"/>
          <w:lang w:val="fr-FR"/>
        </w:rPr>
        <w:t>. Leur teneur moyenne est de 62,33 ± 0 mg EAG dans l’extrait aqueux tandis qu’elle est de 74,47 ± 2,38 mg EAG dans la poudre brute.</w:t>
      </w:r>
    </w:p>
    <w:p w:rsidR="002C1C73" w:rsidRPr="00D410DA" w:rsidRDefault="002C1C73" w:rsidP="002C1C73">
      <w:pPr>
        <w:spacing w:line="360" w:lineRule="auto"/>
        <w:ind w:firstLine="708"/>
        <w:jc w:val="both"/>
        <w:rPr>
          <w:rFonts w:ascii="Times New Roman" w:eastAsia="Times New Roman" w:hAnsi="Times New Roman" w:cs="Times New Roman"/>
          <w:sz w:val="20"/>
          <w:szCs w:val="20"/>
          <w:lang w:val="fr-FR"/>
        </w:rPr>
      </w:pPr>
      <w:bookmarkStart w:id="16" w:name="_Hlk175141281"/>
      <w:r w:rsidRPr="00D410DA">
        <w:rPr>
          <w:rFonts w:ascii="Times New Roman" w:eastAsia="Times New Roman" w:hAnsi="Times New Roman" w:cs="Times New Roman"/>
          <w:sz w:val="20"/>
          <w:szCs w:val="20"/>
          <w:lang w:val="fr-FR"/>
        </w:rPr>
        <w:lastRenderedPageBreak/>
        <w:t>Le choix de l’utilisation de la poudre brute de gingembre pour la confection des gélules plutôt que l’extrait était judicieux en raison de la bonne teneur en polyphénols et d’un minimum de traitement à mettre en œuvre sur le rhizome.</w:t>
      </w:r>
    </w:p>
    <w:bookmarkEnd w:id="16"/>
    <w:p w:rsidR="002C1C73" w:rsidRPr="00D410DA" w:rsidRDefault="002C1C73" w:rsidP="002C1C73">
      <w:pPr>
        <w:spacing w:line="360" w:lineRule="auto"/>
        <w:ind w:firstLine="708"/>
        <w:jc w:val="both"/>
        <w:rPr>
          <w:rFonts w:ascii="Times New Roman" w:eastAsia="Times New Roman" w:hAnsi="Times New Roman" w:cs="Times New Roman"/>
          <w:sz w:val="20"/>
          <w:szCs w:val="20"/>
          <w:lang w:val="fr-FR"/>
        </w:rPr>
      </w:pPr>
      <w:r w:rsidRPr="00D410DA">
        <w:rPr>
          <w:rFonts w:ascii="Times New Roman" w:eastAsia="Times New Roman" w:hAnsi="Times New Roman" w:cs="Times New Roman"/>
          <w:sz w:val="20"/>
          <w:szCs w:val="20"/>
          <w:lang w:val="fr-FR"/>
        </w:rPr>
        <w:t>La silice colloïdale anhydre (</w:t>
      </w:r>
      <w:proofErr w:type="spellStart"/>
      <w:r w:rsidRPr="00D410DA">
        <w:rPr>
          <w:rFonts w:ascii="Times New Roman" w:eastAsia="Times New Roman" w:hAnsi="Times New Roman" w:cs="Times New Roman"/>
          <w:sz w:val="20"/>
          <w:szCs w:val="20"/>
          <w:lang w:val="fr-FR"/>
        </w:rPr>
        <w:t>Aerosil</w:t>
      </w:r>
      <w:proofErr w:type="spellEnd"/>
      <w:r w:rsidRPr="00D410DA">
        <w:rPr>
          <w:rFonts w:ascii="Times New Roman" w:eastAsia="Times New Roman" w:hAnsi="Times New Roman" w:cs="Times New Roman"/>
          <w:sz w:val="20"/>
          <w:szCs w:val="20"/>
          <w:lang w:val="fr-FR"/>
        </w:rPr>
        <w:t xml:space="preserve"> 300) et la cellulose microcristalline (</w:t>
      </w:r>
      <w:proofErr w:type="spellStart"/>
      <w:r w:rsidRPr="00D410DA">
        <w:rPr>
          <w:rFonts w:ascii="Times New Roman" w:eastAsia="Times New Roman" w:hAnsi="Times New Roman" w:cs="Times New Roman"/>
          <w:sz w:val="20"/>
          <w:szCs w:val="20"/>
          <w:lang w:val="fr-FR"/>
        </w:rPr>
        <w:t>Avicel</w:t>
      </w:r>
      <w:proofErr w:type="spellEnd"/>
      <w:r w:rsidRPr="00D410DA">
        <w:rPr>
          <w:rFonts w:ascii="Times New Roman" w:eastAsia="Times New Roman" w:hAnsi="Times New Roman" w:cs="Times New Roman"/>
          <w:sz w:val="20"/>
          <w:szCs w:val="20"/>
          <w:lang w:val="fr-FR"/>
        </w:rPr>
        <w:t xml:space="preserve"> PH 101), utilisées comme excipients stabilisateurs, n’ont pas d’effets notoires et offrent des avantages galéniques supplémentaires perceptibles</w:t>
      </w:r>
      <w:r w:rsidRPr="00D410DA">
        <w:rPr>
          <w:rFonts w:ascii="Times New Roman" w:eastAsia="Times New Roman" w:hAnsi="Times New Roman" w:cs="Times New Roman"/>
          <w:sz w:val="20"/>
          <w:szCs w:val="20"/>
          <w:lang w:val="fr-FR"/>
        </w:rPr>
        <w:fldChar w:fldCharType="begin"/>
      </w:r>
      <w:r w:rsidRPr="00D410DA">
        <w:rPr>
          <w:rFonts w:ascii="Times New Roman" w:eastAsia="Times New Roman" w:hAnsi="Times New Roman" w:cs="Times New Roman"/>
          <w:sz w:val="20"/>
          <w:szCs w:val="20"/>
          <w:lang w:val="fr-FR"/>
        </w:rPr>
        <w:instrText xml:space="preserve"> ADDIN ZOTERO_ITEM CSL_CITATION {"citationID":"uOl3fgw9","properties":{"formattedCitation":"[12]","plainCitation":"[12]","noteIndex":0},"citationItems":[{"id":42,"uris":["http://zotero.org/users/13638572/items/B33UBBBP"],"itemData":{"id":42,"type":"book","abstract":"The Handbook of Pharmaceutical Excipients is a comprehensive guide to the uses, properties and safety of pharmaceutical excipients and is an essential reference for those involved in the development, production, control or regulation of pharmaceutical preparations; The handbook collects together essential data on the physical properties of excipients as well as providing information on their safe use and potential toxicity. All monographs are also thoroughly cross-referenced and indexed to allow their identification by chemical, non-proprietary or trade names","ISBN":"978-0-85369-618-6","language":"en","note":"Google-Books-ID: BGJqAAAAMAAJ","number-of-pages":"984","publisher":"Pharmaceutical Press","source":"Google Books","title":"Handbook of Pharmaceutical Excipients","author":[{"family":"Rowe","given":"Raymond C."},{"family":"Sheskey","given":"Paul J."},{"family":"Owen","given":"Siân C."}],"issued":{"date-parts":[["2006"]]}}}],"schema":"https://github.com/citation-style-language/schema/raw/master/csl-citation.json"} </w:instrText>
      </w:r>
      <w:r w:rsidRPr="00D410DA">
        <w:rPr>
          <w:rFonts w:ascii="Times New Roman" w:eastAsia="Times New Roman" w:hAnsi="Times New Roman" w:cs="Times New Roman"/>
          <w:sz w:val="20"/>
          <w:szCs w:val="20"/>
          <w:lang w:val="fr-FR"/>
        </w:rPr>
        <w:fldChar w:fldCharType="separate"/>
      </w:r>
      <w:r w:rsidRPr="00D410DA">
        <w:rPr>
          <w:rFonts w:ascii="Times New Roman" w:eastAsia="Calibri" w:hAnsi="Times New Roman" w:cs="Times New Roman"/>
          <w:sz w:val="20"/>
          <w:szCs w:val="20"/>
          <w:lang w:val="fr-FR"/>
        </w:rPr>
        <w:t>[12]</w:t>
      </w:r>
      <w:r w:rsidRPr="00D410DA">
        <w:rPr>
          <w:rFonts w:ascii="Times New Roman" w:eastAsia="Times New Roman" w:hAnsi="Times New Roman" w:cs="Times New Roman"/>
          <w:sz w:val="20"/>
          <w:szCs w:val="20"/>
          <w:lang w:val="fr-FR"/>
        </w:rPr>
        <w:fldChar w:fldCharType="end"/>
      </w:r>
      <w:r w:rsidRPr="00D410DA">
        <w:rPr>
          <w:rFonts w:ascii="Times New Roman" w:eastAsia="Times New Roman" w:hAnsi="Times New Roman" w:cs="Times New Roman"/>
          <w:sz w:val="20"/>
          <w:szCs w:val="20"/>
          <w:lang w:val="fr-FR"/>
        </w:rPr>
        <w:t>.</w:t>
      </w:r>
    </w:p>
    <w:p w:rsidR="002C1C73" w:rsidRPr="00D410DA" w:rsidRDefault="002C1C73" w:rsidP="002C1C73">
      <w:pPr>
        <w:spacing w:line="360" w:lineRule="auto"/>
        <w:jc w:val="both"/>
        <w:rPr>
          <w:rFonts w:ascii="Times New Roman" w:eastAsia="Calibri" w:hAnsi="Times New Roman" w:cs="Times New Roman"/>
          <w:sz w:val="20"/>
          <w:szCs w:val="20"/>
          <w:lang w:val="fr-FR"/>
        </w:rPr>
      </w:pPr>
      <w:r w:rsidRPr="00D410DA">
        <w:rPr>
          <w:rFonts w:ascii="Times New Roman" w:eastAsia="Times New Roman" w:hAnsi="Times New Roman" w:cs="Times New Roman"/>
          <w:sz w:val="20"/>
          <w:szCs w:val="20"/>
          <w:lang w:val="fr-FR"/>
        </w:rPr>
        <w:t xml:space="preserve">La très faible charge microbienne </w:t>
      </w:r>
      <w:r w:rsidRPr="00D410DA">
        <w:rPr>
          <w:rFonts w:ascii="Times New Roman" w:eastAsia="Calibri" w:hAnsi="Times New Roman" w:cs="Times New Roman"/>
          <w:sz w:val="20"/>
          <w:szCs w:val="20"/>
          <w:lang w:val="fr-FR"/>
        </w:rPr>
        <w:t xml:space="preserve">témoigne du respect rigoureux des mesures d’hygiène et du sérieux ayant présidé à la confection des gélules. Les résultats sont en accord avec les normes fournies par les travaux de </w:t>
      </w:r>
      <w:proofErr w:type="spellStart"/>
      <w:r w:rsidRPr="00D410DA">
        <w:rPr>
          <w:rFonts w:ascii="Times New Roman" w:eastAsia="Calibri" w:hAnsi="Times New Roman" w:cs="Times New Roman"/>
          <w:sz w:val="20"/>
          <w:szCs w:val="20"/>
          <w:lang w:val="fr-FR"/>
        </w:rPr>
        <w:t>Bouldjadj</w:t>
      </w:r>
      <w:proofErr w:type="spellEnd"/>
      <w:r w:rsidRPr="00D410DA">
        <w:rPr>
          <w:rFonts w:ascii="Times New Roman" w:eastAsia="Calibri" w:hAnsi="Times New Roman" w:cs="Times New Roman"/>
          <w:sz w:val="20"/>
          <w:szCs w:val="20"/>
          <w:lang w:val="fr-FR"/>
        </w:rPr>
        <w:t xml:space="preserve"> et al</w:t>
      </w:r>
      <w:r w:rsidRPr="00D410DA">
        <w:rPr>
          <w:rFonts w:ascii="Times New Roman" w:eastAsia="Calibri" w:hAnsi="Times New Roman" w:cs="Times New Roman"/>
          <w:sz w:val="20"/>
          <w:szCs w:val="20"/>
          <w:lang w:val="fr-FR"/>
        </w:rPr>
        <w:fldChar w:fldCharType="begin"/>
      </w:r>
      <w:r w:rsidRPr="00D410DA">
        <w:rPr>
          <w:rFonts w:ascii="Times New Roman" w:eastAsia="Calibri" w:hAnsi="Times New Roman" w:cs="Times New Roman"/>
          <w:sz w:val="20"/>
          <w:szCs w:val="20"/>
          <w:lang w:val="fr-FR"/>
        </w:rPr>
        <w:instrText xml:space="preserve"> ADDIN ZOTERO_ITEM CSL_CITATION {"citationID":"2YDTG3fB","properties":{"formattedCitation":"[13]","plainCitation":"[13]","noteIndex":0},"citationItems":[{"id":134,"uris":["http://zotero.org/users/13638572/items/CJZKYZM6"],"itemData":{"id":134,"type":"thesis","abstract":"Dans le but de produire des médicaments génériques essentiellement similaires aux médicaments\noriginaux, l’industrie pharmaceutique met en œuvre des méthodes plus performantes de fabrication et de\ncontrôle - qualité de différentes substances formant ce médicament.\nL’objectif de cette étude consiste en contrôle physico-chimique et microbiologique de l’Atorvastatine\nLDM 10 mg produit par le laboratoire de production LDM, allant de la matière première jusqu'au produit\nfini, et ce dans le but de vérifier sa conformité aux normes exigées par la pharmacopée européenne 9ème\nédition d’une part, et aussi le suivi de toutes les étapes du processus de fabrication indiqué dans le dossier\ntechnique d’autre part.\nLa caractérisation du principe actif et des différents excipients de la cellulose microcristalline, le stéarate\nde magnésium, le lactose monohydraté et le croscarmellose sodique à l’aide de différents essais (pH,\nconductivité, acidité ou alcalinité, pourvoir rotatoire spécifique, la perte a la dessiccation et les cendres\nsulfuriques), révèle la bonne qualité physico-chimique des substances étudiées.\nAfin d’assurer la qualité physico-chimique du produit fini, plusieurs analyses ont été réalisées à savoir:\nl’aspect, la masse moyenne, le test de dissolution, le dosage du principe actif par HPLC, les substances\napparentées et l’uniformité de teneur en principe actif. Les résultats obtenus ont montré une compatibilité\navec les normes de la pharmacopée européenne, ce qui affirme la bonne qualité physico-chimique de\nl’Atorvastatine LDM 10mg.\nPar ailleurs, la qualité microbiologique du produit fini a été vérifiée au sein du laboratoire de\nmicrobiologie. Pour ce faire, plusieurs tests ont été réalisés dont, le dénombrement des germes aérobies\nmésophiles viables totaux, le dénombrement des levures et des moisissures totales, la recherche\nd’Escherichia coli, la recherche de Staphylococcus aureus, la recherche de Pseudomonas aéroginosa et\nla recherche de Salmonella. Les résultats obtenus indiquent l’absence totale de tous les germes, ce qui\naffirme la bonne qualité microbiologique du produit fini et sa conformité aux normes de la pharmacopée\neuropéenne 9ème édition.\nAussi, les résultats obtenus lors de cette étude, nous ont permis de déduire que l’Atorvastatine LDM\n10mg est un médicament générique qui présente une bonne qualité physico-chimique et microbiologique,\net il possède une équivalence thérapeutique par rapport au princeps.","genre":"Mémoire de DEA","language":"Français","number-of-pages":"113","publisher":"Université Frères Mentouri Constantine 1","title":"Contrôle qualité physico-chimique et microbiologique de l’atorvastatine 10mg","URL":"https://www.google.com/url?sa=t&amp;source=web&amp;rct=j&amp;opi=89978449&amp;url=https://fac.umc.edu.dz/snv/bibliotheque/biblio/mmf/2018/Contr%25C3%25B4le%2520qualit%25C3%25A9%2520physico-chimique%2520et%2520microbiologique%2520de%2520l%25E2%2580%2599ATORVASTATINE%2520LDM%252010mg.pdf&amp;ved=2ahUKEwiD86CGkeWFAxUzrZUCHbuICxEQFnoECBUQAQ&amp;usg=AOvVaw2N5rOIZyqDxnNPuaFzR6St","author":[{"family":"Bouldjadj","given":"Ryma"},{"family":"Chouguiat","given":"Rayene"}],"issued":{"date-parts":[["2018"]]}}}],"schema":"https://github.com/citation-style-language/schema/raw/master/csl-citation.json"} </w:instrText>
      </w:r>
      <w:r w:rsidRPr="00D410DA">
        <w:rPr>
          <w:rFonts w:ascii="Times New Roman" w:eastAsia="Calibri" w:hAnsi="Times New Roman" w:cs="Times New Roman"/>
          <w:sz w:val="20"/>
          <w:szCs w:val="20"/>
          <w:lang w:val="fr-FR"/>
        </w:rPr>
        <w:fldChar w:fldCharType="separate"/>
      </w:r>
      <w:r w:rsidRPr="00D410DA">
        <w:rPr>
          <w:rFonts w:ascii="Times New Roman" w:eastAsia="Calibri" w:hAnsi="Times New Roman" w:cs="Times New Roman"/>
          <w:sz w:val="20"/>
          <w:szCs w:val="20"/>
          <w:lang w:val="fr-FR"/>
        </w:rPr>
        <w:t>[13]</w:t>
      </w:r>
      <w:r w:rsidRPr="00D410DA">
        <w:rPr>
          <w:rFonts w:ascii="Times New Roman" w:eastAsia="Calibri" w:hAnsi="Times New Roman" w:cs="Times New Roman"/>
          <w:sz w:val="20"/>
          <w:szCs w:val="20"/>
          <w:lang w:val="fr-FR"/>
        </w:rPr>
        <w:fldChar w:fldCharType="end"/>
      </w:r>
      <w:r w:rsidRPr="00D410DA">
        <w:rPr>
          <w:rFonts w:ascii="Times New Roman" w:eastAsia="Calibri" w:hAnsi="Times New Roman" w:cs="Times New Roman"/>
          <w:sz w:val="20"/>
          <w:szCs w:val="20"/>
          <w:lang w:val="fr-FR"/>
        </w:rPr>
        <w:t xml:space="preserve"> et la Pharmacopée européenne 9</w:t>
      </w:r>
      <w:r w:rsidRPr="00D410DA">
        <w:rPr>
          <w:rFonts w:ascii="Times New Roman" w:eastAsia="Calibri" w:hAnsi="Times New Roman" w:cs="Times New Roman"/>
          <w:sz w:val="20"/>
          <w:szCs w:val="20"/>
          <w:vertAlign w:val="superscript"/>
          <w:lang w:val="fr-FR"/>
        </w:rPr>
        <w:t>e</w:t>
      </w:r>
      <w:r w:rsidRPr="00D410DA">
        <w:rPr>
          <w:rFonts w:ascii="Times New Roman" w:eastAsia="Calibri" w:hAnsi="Times New Roman" w:cs="Times New Roman"/>
          <w:sz w:val="20"/>
          <w:szCs w:val="20"/>
          <w:lang w:val="fr-FR"/>
        </w:rPr>
        <w:t xml:space="preserve"> édition</w:t>
      </w:r>
      <w:r w:rsidRPr="00D410DA">
        <w:rPr>
          <w:rFonts w:ascii="Times New Roman" w:eastAsia="Calibri" w:hAnsi="Times New Roman" w:cs="Times New Roman"/>
          <w:sz w:val="20"/>
          <w:szCs w:val="20"/>
          <w:lang w:val="fr-FR"/>
        </w:rPr>
        <w:fldChar w:fldCharType="begin"/>
      </w:r>
      <w:r w:rsidRPr="00D410DA">
        <w:rPr>
          <w:rFonts w:ascii="Times New Roman" w:eastAsia="Calibri" w:hAnsi="Times New Roman" w:cs="Times New Roman"/>
          <w:sz w:val="20"/>
          <w:szCs w:val="20"/>
          <w:lang w:val="fr-FR"/>
        </w:rPr>
        <w:instrText xml:space="preserve"> ADDIN ZOTERO_ITEM CSL_CITATION {"citationID":"s4cvD4py","properties":{"formattedCitation":"[7]","plainCitation":"[7]","noteIndex":0},"citationItems":[{"id":20,"uris":["http://zotero.org/users/13638572/items/MACG7N8K"],"itemData":{"id":20,"type":"webpage","title":"The 9th Edition European Pharmacopoeia: Maintaining high quality standards in a dynamic global environment - Portal","URL":"https://www.coe.int/en/web/portal/-/the-9th-edition-european-pharmacopoeia-maintaining-high-quality-standards-in-a-dynamic-global-environment","accessed":{"date-parts":[["2023",11,30]]}}}],"schema":"https://github.com/citation-style-language/schema/raw/master/csl-citation.json"} </w:instrText>
      </w:r>
      <w:r w:rsidRPr="00D410DA">
        <w:rPr>
          <w:rFonts w:ascii="Times New Roman" w:eastAsia="Calibri" w:hAnsi="Times New Roman" w:cs="Times New Roman"/>
          <w:sz w:val="20"/>
          <w:szCs w:val="20"/>
          <w:lang w:val="fr-FR"/>
        </w:rPr>
        <w:fldChar w:fldCharType="separate"/>
      </w:r>
      <w:r w:rsidRPr="00D410DA">
        <w:rPr>
          <w:rFonts w:ascii="Times New Roman" w:eastAsia="Calibri" w:hAnsi="Times New Roman" w:cs="Times New Roman"/>
          <w:sz w:val="20"/>
          <w:szCs w:val="20"/>
          <w:lang w:val="fr-FR"/>
        </w:rPr>
        <w:t>[7]</w:t>
      </w:r>
      <w:r w:rsidRPr="00D410DA">
        <w:rPr>
          <w:rFonts w:ascii="Times New Roman" w:eastAsia="Calibri" w:hAnsi="Times New Roman" w:cs="Times New Roman"/>
          <w:sz w:val="20"/>
          <w:szCs w:val="20"/>
          <w:lang w:val="fr-FR"/>
        </w:rPr>
        <w:fldChar w:fldCharType="end"/>
      </w:r>
      <w:r w:rsidRPr="00D410DA">
        <w:rPr>
          <w:rFonts w:ascii="Times New Roman" w:eastAsia="Calibri" w:hAnsi="Times New Roman" w:cs="Times New Roman"/>
          <w:sz w:val="20"/>
          <w:szCs w:val="20"/>
          <w:lang w:val="fr-FR"/>
        </w:rPr>
        <w:t>.</w:t>
      </w:r>
    </w:p>
    <w:p w:rsidR="002C1C73" w:rsidRPr="00D410DA" w:rsidRDefault="002C1C73" w:rsidP="002C1C73">
      <w:pPr>
        <w:spacing w:line="360" w:lineRule="auto"/>
        <w:ind w:firstLine="708"/>
        <w:jc w:val="both"/>
        <w:rPr>
          <w:rFonts w:ascii="Times New Roman" w:eastAsia="Calibri" w:hAnsi="Times New Roman" w:cs="Times New Roman"/>
          <w:sz w:val="20"/>
          <w:szCs w:val="20"/>
          <w:lang w:val="fr-FR"/>
        </w:rPr>
      </w:pPr>
      <w:r w:rsidRPr="00D410DA">
        <w:rPr>
          <w:rFonts w:ascii="Times New Roman" w:eastAsia="Calibri" w:hAnsi="Times New Roman" w:cs="Times New Roman"/>
          <w:sz w:val="20"/>
          <w:szCs w:val="20"/>
          <w:lang w:val="fr-FR"/>
        </w:rPr>
        <w:t xml:space="preserve">Les gélules ont été conditionnées dans des flacons portant une étiquette, avec toutes les mentions indispensables pour une bonne utilisation ; chaque flacon contient une capsule </w:t>
      </w:r>
      <w:proofErr w:type="spellStart"/>
      <w:r w:rsidRPr="00D410DA">
        <w:rPr>
          <w:rFonts w:ascii="Times New Roman" w:eastAsia="Calibri" w:hAnsi="Times New Roman" w:cs="Times New Roman"/>
          <w:sz w:val="20"/>
          <w:szCs w:val="20"/>
          <w:lang w:val="fr-FR"/>
        </w:rPr>
        <w:t>dessicatrice</w:t>
      </w:r>
      <w:proofErr w:type="spellEnd"/>
      <w:r w:rsidRPr="00D410DA">
        <w:rPr>
          <w:rFonts w:ascii="Times New Roman" w:eastAsia="Calibri" w:hAnsi="Times New Roman" w:cs="Times New Roman"/>
          <w:sz w:val="20"/>
          <w:szCs w:val="20"/>
          <w:lang w:val="fr-FR"/>
        </w:rPr>
        <w:t xml:space="preserve"> à base de gel de silice. Ce qui permettra d’améliorer la conservation du produit final.</w:t>
      </w:r>
    </w:p>
    <w:p w:rsidR="002C1C73" w:rsidRPr="00D410DA" w:rsidRDefault="002C1C73" w:rsidP="002C1C73">
      <w:pPr>
        <w:spacing w:line="360" w:lineRule="auto"/>
        <w:jc w:val="both"/>
        <w:rPr>
          <w:rFonts w:ascii="Times New Roman" w:eastAsia="Times New Roman" w:hAnsi="Times New Roman" w:cs="Times New Roman"/>
          <w:b/>
          <w:bCs/>
          <w:sz w:val="20"/>
          <w:szCs w:val="20"/>
          <w:lang w:val="fr-FR"/>
        </w:rPr>
      </w:pPr>
    </w:p>
    <w:p w:rsidR="002C1C73" w:rsidRPr="00D410DA" w:rsidRDefault="002C1C73" w:rsidP="002C1C73">
      <w:pPr>
        <w:spacing w:line="360" w:lineRule="auto"/>
        <w:jc w:val="both"/>
        <w:rPr>
          <w:rFonts w:ascii="Times New Roman" w:eastAsia="Times New Roman" w:hAnsi="Times New Roman" w:cs="Times New Roman"/>
          <w:b/>
          <w:bCs/>
          <w:sz w:val="24"/>
          <w:szCs w:val="24"/>
          <w:lang w:val="fr-FR"/>
        </w:rPr>
      </w:pPr>
      <w:r w:rsidRPr="00D410DA">
        <w:rPr>
          <w:rFonts w:ascii="Times New Roman" w:eastAsia="Times New Roman" w:hAnsi="Times New Roman" w:cs="Times New Roman"/>
          <w:b/>
          <w:bCs/>
          <w:sz w:val="24"/>
          <w:szCs w:val="24"/>
          <w:lang w:val="fr-FR"/>
        </w:rPr>
        <w:t>Conclusion</w:t>
      </w:r>
    </w:p>
    <w:p w:rsidR="002C1C73" w:rsidRPr="00D410DA" w:rsidRDefault="002C1C73" w:rsidP="002C1C73">
      <w:pPr>
        <w:spacing w:line="360" w:lineRule="auto"/>
        <w:ind w:firstLine="708"/>
        <w:jc w:val="both"/>
        <w:rPr>
          <w:rFonts w:ascii="Times New Roman" w:eastAsia="Times New Roman" w:hAnsi="Times New Roman" w:cs="Times New Roman"/>
          <w:sz w:val="20"/>
          <w:szCs w:val="20"/>
          <w:lang w:val="fr-FR"/>
        </w:rPr>
      </w:pPr>
      <w:r w:rsidRPr="00D410DA">
        <w:rPr>
          <w:rFonts w:ascii="Times New Roman" w:eastAsia="Times New Roman" w:hAnsi="Times New Roman" w:cs="Times New Roman"/>
          <w:sz w:val="20"/>
          <w:szCs w:val="20"/>
          <w:lang w:val="fr-FR"/>
        </w:rPr>
        <w:t xml:space="preserve">L'objectif de la présente étude était de formuler des gélules à visée antidiabétique à base du rhizome de </w:t>
      </w:r>
      <w:proofErr w:type="spellStart"/>
      <w:r w:rsidRPr="00D410DA">
        <w:rPr>
          <w:rFonts w:ascii="Times New Roman" w:eastAsia="Times New Roman" w:hAnsi="Times New Roman" w:cs="Times New Roman"/>
          <w:i/>
          <w:iCs/>
          <w:sz w:val="20"/>
          <w:szCs w:val="20"/>
          <w:lang w:val="fr-FR"/>
        </w:rPr>
        <w:t>Zingiber</w:t>
      </w:r>
      <w:proofErr w:type="spellEnd"/>
      <w:r w:rsidRPr="00D410DA">
        <w:rPr>
          <w:rFonts w:ascii="Times New Roman" w:eastAsia="Times New Roman" w:hAnsi="Times New Roman" w:cs="Times New Roman"/>
          <w:i/>
          <w:iCs/>
          <w:sz w:val="20"/>
          <w:szCs w:val="20"/>
          <w:lang w:val="fr-FR"/>
        </w:rPr>
        <w:t xml:space="preserve"> officinale</w:t>
      </w:r>
      <w:r w:rsidRPr="00D410DA">
        <w:rPr>
          <w:rFonts w:ascii="Times New Roman" w:eastAsia="Times New Roman" w:hAnsi="Times New Roman" w:cs="Times New Roman"/>
          <w:sz w:val="20"/>
          <w:szCs w:val="20"/>
          <w:lang w:val="fr-FR"/>
        </w:rPr>
        <w:t xml:space="preserve">. À la fin de l'étude, des gélules n°00 contenant 33,64 mg EAG de polyphénols totaux ont été préparées. Elles ont passé favorablement les tests de contrôle </w:t>
      </w:r>
      <w:proofErr w:type="spellStart"/>
      <w:r w:rsidRPr="00D410DA">
        <w:rPr>
          <w:rFonts w:ascii="Times New Roman" w:eastAsia="Times New Roman" w:hAnsi="Times New Roman" w:cs="Times New Roman"/>
          <w:sz w:val="20"/>
          <w:szCs w:val="20"/>
          <w:lang w:val="fr-FR"/>
        </w:rPr>
        <w:t>pharmacotechnique</w:t>
      </w:r>
      <w:proofErr w:type="spellEnd"/>
      <w:r w:rsidRPr="00D410DA">
        <w:rPr>
          <w:rFonts w:ascii="Times New Roman" w:eastAsia="Times New Roman" w:hAnsi="Times New Roman" w:cs="Times New Roman"/>
          <w:sz w:val="20"/>
          <w:szCs w:val="20"/>
          <w:lang w:val="fr-FR"/>
        </w:rPr>
        <w:t xml:space="preserve"> et microbiologique recommandés par la Pharmacopée Européenne 9</w:t>
      </w:r>
      <w:r w:rsidRPr="00D410DA">
        <w:rPr>
          <w:rFonts w:ascii="Times New Roman" w:eastAsia="Times New Roman" w:hAnsi="Times New Roman" w:cs="Times New Roman"/>
          <w:sz w:val="20"/>
          <w:szCs w:val="20"/>
          <w:vertAlign w:val="superscript"/>
          <w:lang w:val="fr-FR"/>
        </w:rPr>
        <w:t>e</w:t>
      </w:r>
      <w:r w:rsidRPr="00D410DA">
        <w:rPr>
          <w:rFonts w:ascii="Times New Roman" w:eastAsia="Times New Roman" w:hAnsi="Times New Roman" w:cs="Times New Roman"/>
          <w:sz w:val="20"/>
          <w:szCs w:val="20"/>
          <w:lang w:val="fr-FR"/>
        </w:rPr>
        <w:t xml:space="preserve"> édition. Elles pourraient être utilisés comme médicament pour la prise en charge du diabète sous réserve des essais préliminaire des MTA.</w:t>
      </w:r>
    </w:p>
    <w:p w:rsidR="00D410DA" w:rsidRDefault="00D410DA" w:rsidP="002C1C73">
      <w:pPr>
        <w:spacing w:line="360" w:lineRule="auto"/>
        <w:jc w:val="both"/>
        <w:rPr>
          <w:rFonts w:ascii="Times New Roman" w:eastAsia="Times New Roman" w:hAnsi="Times New Roman" w:cs="Times New Roman"/>
          <w:b/>
          <w:bCs/>
          <w:sz w:val="20"/>
          <w:szCs w:val="20"/>
          <w:lang w:val="fr-FR"/>
        </w:rPr>
      </w:pPr>
    </w:p>
    <w:p w:rsidR="002C1C73" w:rsidRPr="00D410DA" w:rsidRDefault="002C1C73" w:rsidP="002C1C73">
      <w:pPr>
        <w:spacing w:line="360" w:lineRule="auto"/>
        <w:jc w:val="both"/>
        <w:rPr>
          <w:rFonts w:ascii="Times New Roman" w:eastAsia="Times New Roman" w:hAnsi="Times New Roman" w:cs="Times New Roman"/>
          <w:b/>
          <w:bCs/>
          <w:sz w:val="20"/>
          <w:szCs w:val="20"/>
          <w:lang w:val="fr-FR"/>
        </w:rPr>
      </w:pPr>
      <w:r w:rsidRPr="00D410DA">
        <w:rPr>
          <w:rFonts w:ascii="Times New Roman" w:eastAsia="Times New Roman" w:hAnsi="Times New Roman" w:cs="Times New Roman"/>
          <w:b/>
          <w:bCs/>
          <w:sz w:val="20"/>
          <w:szCs w:val="20"/>
          <w:lang w:val="fr-FR"/>
        </w:rPr>
        <w:t>Références</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rPr>
      </w:pPr>
      <w:r w:rsidRPr="00D410DA">
        <w:rPr>
          <w:rFonts w:ascii="Times New Roman" w:eastAsia="Times New Roman" w:hAnsi="Times New Roman" w:cs="Times New Roman"/>
          <w:b/>
          <w:bCs/>
          <w:sz w:val="20"/>
          <w:szCs w:val="20"/>
          <w:lang w:val="fr-FR"/>
        </w:rPr>
        <w:fldChar w:fldCharType="begin"/>
      </w:r>
      <w:r w:rsidRPr="00D410DA">
        <w:rPr>
          <w:rFonts w:ascii="Times New Roman" w:eastAsia="Times New Roman" w:hAnsi="Times New Roman" w:cs="Times New Roman"/>
          <w:b/>
          <w:bCs/>
          <w:sz w:val="20"/>
          <w:szCs w:val="20"/>
          <w:lang w:val="fr-FR"/>
        </w:rPr>
        <w:instrText xml:space="preserve"> ADDIN ZOTERO_BIBL {"uncited":[],"omitted":[],"custom":[]} CSL_BIBLIOGRAPHY </w:instrText>
      </w:r>
      <w:r w:rsidRPr="00D410DA">
        <w:rPr>
          <w:rFonts w:ascii="Times New Roman" w:eastAsia="Times New Roman" w:hAnsi="Times New Roman" w:cs="Times New Roman"/>
          <w:b/>
          <w:bCs/>
          <w:sz w:val="20"/>
          <w:szCs w:val="20"/>
          <w:lang w:val="fr-FR"/>
        </w:rPr>
        <w:fldChar w:fldCharType="separate"/>
      </w:r>
      <w:r w:rsidRPr="00D410DA">
        <w:rPr>
          <w:rFonts w:ascii="Times New Roman" w:eastAsia="Calibri" w:hAnsi="Times New Roman" w:cs="Times New Roman"/>
          <w:sz w:val="20"/>
          <w:szCs w:val="20"/>
          <w:lang w:val="fr-FR"/>
        </w:rPr>
        <w:t xml:space="preserve">1. </w:t>
      </w:r>
      <w:r w:rsidRPr="00D410DA">
        <w:rPr>
          <w:rFonts w:ascii="Times New Roman" w:eastAsia="Calibri" w:hAnsi="Times New Roman" w:cs="Times New Roman"/>
          <w:sz w:val="20"/>
          <w:szCs w:val="20"/>
          <w:lang w:val="fr-FR"/>
        </w:rPr>
        <w:tab/>
        <w:t xml:space="preserve">Rapport OMS sur le diabète. </w:t>
      </w:r>
      <w:r w:rsidRPr="00D410DA">
        <w:rPr>
          <w:rFonts w:ascii="Times New Roman" w:eastAsia="Calibri" w:hAnsi="Times New Roman" w:cs="Times New Roman"/>
          <w:sz w:val="20"/>
          <w:szCs w:val="20"/>
        </w:rPr>
        <w:t>2016 [</w:t>
      </w:r>
      <w:proofErr w:type="spellStart"/>
      <w:r w:rsidRPr="00D410DA">
        <w:rPr>
          <w:rFonts w:ascii="Times New Roman" w:eastAsia="Calibri" w:hAnsi="Times New Roman" w:cs="Times New Roman"/>
          <w:sz w:val="20"/>
          <w:szCs w:val="20"/>
        </w:rPr>
        <w:t>cité</w:t>
      </w:r>
      <w:proofErr w:type="spellEnd"/>
      <w:r w:rsidRPr="00D410DA">
        <w:rPr>
          <w:rFonts w:ascii="Times New Roman" w:eastAsia="Calibri" w:hAnsi="Times New Roman" w:cs="Times New Roman"/>
          <w:sz w:val="20"/>
          <w:szCs w:val="20"/>
        </w:rPr>
        <w:t xml:space="preserve"> 25 </w:t>
      </w:r>
      <w:proofErr w:type="spellStart"/>
      <w:r w:rsidRPr="00D410DA">
        <w:rPr>
          <w:rFonts w:ascii="Times New Roman" w:eastAsia="Calibri" w:hAnsi="Times New Roman" w:cs="Times New Roman"/>
          <w:sz w:val="20"/>
          <w:szCs w:val="20"/>
        </w:rPr>
        <w:t>nov</w:t>
      </w:r>
      <w:proofErr w:type="spellEnd"/>
      <w:r w:rsidRPr="00D410DA">
        <w:rPr>
          <w:rFonts w:ascii="Times New Roman" w:eastAsia="Calibri" w:hAnsi="Times New Roman" w:cs="Times New Roman"/>
          <w:sz w:val="20"/>
          <w:szCs w:val="20"/>
        </w:rPr>
        <w:t xml:space="preserve"> 2023</w:t>
      </w:r>
      <w:proofErr w:type="gramStart"/>
      <w:r w:rsidRPr="00D410DA">
        <w:rPr>
          <w:rFonts w:ascii="Times New Roman" w:eastAsia="Calibri" w:hAnsi="Times New Roman" w:cs="Times New Roman"/>
          <w:sz w:val="20"/>
          <w:szCs w:val="20"/>
        </w:rPr>
        <w:t>] ;</w:t>
      </w:r>
      <w:proofErr w:type="gramEnd"/>
      <w:r w:rsidRPr="00D410DA">
        <w:rPr>
          <w:rFonts w:ascii="Times New Roman" w:eastAsia="Calibri" w:hAnsi="Times New Roman" w:cs="Times New Roman"/>
          <w:sz w:val="20"/>
          <w:szCs w:val="20"/>
        </w:rPr>
        <w:t xml:space="preserve">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lang w:val="fr-FR"/>
        </w:rPr>
      </w:pPr>
      <w:r w:rsidRPr="00D410DA">
        <w:rPr>
          <w:rFonts w:ascii="Times New Roman" w:eastAsia="Calibri" w:hAnsi="Times New Roman" w:cs="Times New Roman"/>
          <w:sz w:val="20"/>
          <w:szCs w:val="20"/>
        </w:rPr>
        <w:t xml:space="preserve">2. </w:t>
      </w:r>
      <w:r w:rsidRPr="00D410DA">
        <w:rPr>
          <w:rFonts w:ascii="Times New Roman" w:eastAsia="Calibri" w:hAnsi="Times New Roman" w:cs="Times New Roman"/>
          <w:sz w:val="20"/>
          <w:szCs w:val="20"/>
        </w:rPr>
        <w:tab/>
        <w:t xml:space="preserve">Al-Amin M, Martha T, Khaled   K., </w:t>
      </w:r>
      <w:proofErr w:type="spellStart"/>
      <w:r w:rsidRPr="00D410DA">
        <w:rPr>
          <w:rFonts w:ascii="Times New Roman" w:eastAsia="Calibri" w:hAnsi="Times New Roman" w:cs="Times New Roman"/>
          <w:sz w:val="20"/>
          <w:szCs w:val="20"/>
        </w:rPr>
        <w:t>Riitta</w:t>
      </w:r>
      <w:proofErr w:type="spellEnd"/>
      <w:r w:rsidRPr="00D410DA">
        <w:rPr>
          <w:rFonts w:ascii="Times New Roman" w:eastAsia="Calibri" w:hAnsi="Times New Roman" w:cs="Times New Roman"/>
          <w:sz w:val="20"/>
          <w:szCs w:val="20"/>
        </w:rPr>
        <w:t xml:space="preserve"> P, Muslim A. Anti-diabetic and </w:t>
      </w:r>
      <w:proofErr w:type="spellStart"/>
      <w:r w:rsidRPr="00D410DA">
        <w:rPr>
          <w:rFonts w:ascii="Times New Roman" w:eastAsia="Calibri" w:hAnsi="Times New Roman" w:cs="Times New Roman"/>
          <w:sz w:val="20"/>
          <w:szCs w:val="20"/>
        </w:rPr>
        <w:t>hypolipidaemic</w:t>
      </w:r>
      <w:proofErr w:type="spellEnd"/>
      <w:r w:rsidRPr="00D410DA">
        <w:rPr>
          <w:rFonts w:ascii="Times New Roman" w:eastAsia="Calibri" w:hAnsi="Times New Roman" w:cs="Times New Roman"/>
          <w:sz w:val="20"/>
          <w:szCs w:val="20"/>
        </w:rPr>
        <w:t xml:space="preserve"> properties... - Google Scholar [Internet]. </w:t>
      </w:r>
      <w:r w:rsidRPr="00D410DA">
        <w:rPr>
          <w:rFonts w:ascii="Times New Roman" w:eastAsia="Calibri" w:hAnsi="Times New Roman" w:cs="Times New Roman"/>
          <w:sz w:val="20"/>
          <w:szCs w:val="20"/>
          <w:lang w:val="fr-FR"/>
        </w:rPr>
        <w:t xml:space="preserve">2006 [cité 2 </w:t>
      </w:r>
      <w:proofErr w:type="spellStart"/>
      <w:r w:rsidRPr="00D410DA">
        <w:rPr>
          <w:rFonts w:ascii="Times New Roman" w:eastAsia="Calibri" w:hAnsi="Times New Roman" w:cs="Times New Roman"/>
          <w:sz w:val="20"/>
          <w:szCs w:val="20"/>
          <w:lang w:val="fr-FR"/>
        </w:rPr>
        <w:t>déc</w:t>
      </w:r>
      <w:proofErr w:type="spellEnd"/>
      <w:r w:rsidRPr="00D410DA">
        <w:rPr>
          <w:rFonts w:ascii="Times New Roman" w:eastAsia="Calibri" w:hAnsi="Times New Roman" w:cs="Times New Roman"/>
          <w:sz w:val="20"/>
          <w:szCs w:val="20"/>
          <w:lang w:val="fr-FR"/>
        </w:rPr>
        <w:t xml:space="preserve"> 2023].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rPr>
      </w:pPr>
      <w:r w:rsidRPr="00D410DA">
        <w:rPr>
          <w:rFonts w:ascii="Times New Roman" w:eastAsia="Calibri" w:hAnsi="Times New Roman" w:cs="Times New Roman"/>
          <w:sz w:val="20"/>
          <w:szCs w:val="20"/>
          <w:lang w:val="fr-FR"/>
        </w:rPr>
        <w:t xml:space="preserve">3. </w:t>
      </w:r>
      <w:r w:rsidRPr="00D410DA">
        <w:rPr>
          <w:rFonts w:ascii="Times New Roman" w:eastAsia="Calibri" w:hAnsi="Times New Roman" w:cs="Times New Roman"/>
          <w:sz w:val="20"/>
          <w:szCs w:val="20"/>
          <w:lang w:val="fr-FR"/>
        </w:rPr>
        <w:tab/>
      </w:r>
      <w:proofErr w:type="spellStart"/>
      <w:r w:rsidRPr="00D410DA">
        <w:rPr>
          <w:rFonts w:ascii="Times New Roman" w:eastAsia="Calibri" w:hAnsi="Times New Roman" w:cs="Times New Roman"/>
          <w:sz w:val="20"/>
          <w:szCs w:val="20"/>
          <w:lang w:val="fr-FR"/>
        </w:rPr>
        <w:t>Mahluji</w:t>
      </w:r>
      <w:proofErr w:type="spellEnd"/>
      <w:r w:rsidRPr="00D410DA">
        <w:rPr>
          <w:rFonts w:ascii="Times New Roman" w:eastAsia="Calibri" w:hAnsi="Times New Roman" w:cs="Times New Roman"/>
          <w:sz w:val="20"/>
          <w:szCs w:val="20"/>
          <w:lang w:val="fr-FR"/>
        </w:rPr>
        <w:t xml:space="preserve"> S, </w:t>
      </w:r>
      <w:proofErr w:type="spellStart"/>
      <w:r w:rsidRPr="00D410DA">
        <w:rPr>
          <w:rFonts w:ascii="Times New Roman" w:eastAsia="Calibri" w:hAnsi="Times New Roman" w:cs="Times New Roman"/>
          <w:sz w:val="20"/>
          <w:szCs w:val="20"/>
          <w:lang w:val="fr-FR"/>
        </w:rPr>
        <w:t>Attari</w:t>
      </w:r>
      <w:proofErr w:type="spellEnd"/>
      <w:r w:rsidRPr="00D410DA">
        <w:rPr>
          <w:rFonts w:ascii="Times New Roman" w:eastAsia="Calibri" w:hAnsi="Times New Roman" w:cs="Times New Roman"/>
          <w:sz w:val="20"/>
          <w:szCs w:val="20"/>
          <w:lang w:val="fr-FR"/>
        </w:rPr>
        <w:t xml:space="preserve"> VE, </w:t>
      </w:r>
      <w:proofErr w:type="spellStart"/>
      <w:r w:rsidRPr="00D410DA">
        <w:rPr>
          <w:rFonts w:ascii="Times New Roman" w:eastAsia="Calibri" w:hAnsi="Times New Roman" w:cs="Times New Roman"/>
          <w:sz w:val="20"/>
          <w:szCs w:val="20"/>
          <w:lang w:val="fr-FR"/>
        </w:rPr>
        <w:t>Mobasseri</w:t>
      </w:r>
      <w:proofErr w:type="spellEnd"/>
      <w:r w:rsidRPr="00D410DA">
        <w:rPr>
          <w:rFonts w:ascii="Times New Roman" w:eastAsia="Calibri" w:hAnsi="Times New Roman" w:cs="Times New Roman"/>
          <w:sz w:val="20"/>
          <w:szCs w:val="20"/>
          <w:lang w:val="fr-FR"/>
        </w:rPr>
        <w:t xml:space="preserve"> M, </w:t>
      </w:r>
      <w:proofErr w:type="spellStart"/>
      <w:r w:rsidRPr="00D410DA">
        <w:rPr>
          <w:rFonts w:ascii="Times New Roman" w:eastAsia="Calibri" w:hAnsi="Times New Roman" w:cs="Times New Roman"/>
          <w:sz w:val="20"/>
          <w:szCs w:val="20"/>
          <w:lang w:val="fr-FR"/>
        </w:rPr>
        <w:t>Payahoo</w:t>
      </w:r>
      <w:proofErr w:type="spellEnd"/>
      <w:r w:rsidRPr="00D410DA">
        <w:rPr>
          <w:rFonts w:ascii="Times New Roman" w:eastAsia="Calibri" w:hAnsi="Times New Roman" w:cs="Times New Roman"/>
          <w:sz w:val="20"/>
          <w:szCs w:val="20"/>
          <w:lang w:val="fr-FR"/>
        </w:rPr>
        <w:t xml:space="preserve"> L, </w:t>
      </w:r>
      <w:proofErr w:type="spellStart"/>
      <w:r w:rsidRPr="00D410DA">
        <w:rPr>
          <w:rFonts w:ascii="Times New Roman" w:eastAsia="Calibri" w:hAnsi="Times New Roman" w:cs="Times New Roman"/>
          <w:sz w:val="20"/>
          <w:szCs w:val="20"/>
          <w:lang w:val="fr-FR"/>
        </w:rPr>
        <w:t>Ostadrahimi</w:t>
      </w:r>
      <w:proofErr w:type="spellEnd"/>
      <w:r w:rsidRPr="00D410DA">
        <w:rPr>
          <w:rFonts w:ascii="Times New Roman" w:eastAsia="Calibri" w:hAnsi="Times New Roman" w:cs="Times New Roman"/>
          <w:sz w:val="20"/>
          <w:szCs w:val="20"/>
          <w:lang w:val="fr-FR"/>
        </w:rPr>
        <w:t xml:space="preserve"> A, </w:t>
      </w:r>
      <w:proofErr w:type="spellStart"/>
      <w:r w:rsidRPr="00D410DA">
        <w:rPr>
          <w:rFonts w:ascii="Times New Roman" w:eastAsia="Calibri" w:hAnsi="Times New Roman" w:cs="Times New Roman"/>
          <w:sz w:val="20"/>
          <w:szCs w:val="20"/>
          <w:lang w:val="fr-FR"/>
        </w:rPr>
        <w:t>Golzari</w:t>
      </w:r>
      <w:proofErr w:type="spellEnd"/>
      <w:r w:rsidRPr="00D410DA">
        <w:rPr>
          <w:rFonts w:ascii="Times New Roman" w:eastAsia="Calibri" w:hAnsi="Times New Roman" w:cs="Times New Roman"/>
          <w:sz w:val="20"/>
          <w:szCs w:val="20"/>
          <w:lang w:val="fr-FR"/>
        </w:rPr>
        <w:t xml:space="preserve"> SE. </w:t>
      </w:r>
      <w:r w:rsidRPr="00D410DA">
        <w:rPr>
          <w:rFonts w:ascii="Times New Roman" w:eastAsia="Calibri" w:hAnsi="Times New Roman" w:cs="Times New Roman"/>
          <w:sz w:val="20"/>
          <w:szCs w:val="20"/>
        </w:rPr>
        <w:t>Effects of ginger (</w:t>
      </w:r>
      <w:proofErr w:type="spellStart"/>
      <w:r w:rsidRPr="00D410DA">
        <w:rPr>
          <w:rFonts w:ascii="Times New Roman" w:eastAsia="Calibri" w:hAnsi="Times New Roman" w:cs="Times New Roman"/>
          <w:sz w:val="20"/>
          <w:szCs w:val="20"/>
        </w:rPr>
        <w:t>Zingiber</w:t>
      </w:r>
      <w:proofErr w:type="spellEnd"/>
      <w:r w:rsidRPr="00D410DA">
        <w:rPr>
          <w:rFonts w:ascii="Times New Roman" w:eastAsia="Calibri" w:hAnsi="Times New Roman" w:cs="Times New Roman"/>
          <w:i/>
          <w:iCs/>
          <w:sz w:val="20"/>
          <w:szCs w:val="20"/>
        </w:rPr>
        <w:t xml:space="preserve"> </w:t>
      </w:r>
      <w:proofErr w:type="spellStart"/>
      <w:r w:rsidRPr="00D410DA">
        <w:rPr>
          <w:rFonts w:ascii="Times New Roman" w:eastAsia="Calibri" w:hAnsi="Times New Roman" w:cs="Times New Roman"/>
          <w:i/>
          <w:iCs/>
          <w:sz w:val="20"/>
          <w:szCs w:val="20"/>
        </w:rPr>
        <w:t>officinale</w:t>
      </w:r>
      <w:proofErr w:type="spellEnd"/>
      <w:r w:rsidRPr="00D410DA">
        <w:rPr>
          <w:rFonts w:ascii="Times New Roman" w:eastAsia="Calibri" w:hAnsi="Times New Roman" w:cs="Times New Roman"/>
          <w:sz w:val="20"/>
          <w:szCs w:val="20"/>
        </w:rPr>
        <w:t xml:space="preserve">) on plasma glucose level, HbA1c and insulin sensitivity in type </w:t>
      </w:r>
      <w:proofErr w:type="gramStart"/>
      <w:r w:rsidRPr="00D410DA">
        <w:rPr>
          <w:rFonts w:ascii="Times New Roman" w:eastAsia="Calibri" w:hAnsi="Times New Roman" w:cs="Times New Roman"/>
          <w:sz w:val="20"/>
          <w:szCs w:val="20"/>
        </w:rPr>
        <w:t>2</w:t>
      </w:r>
      <w:proofErr w:type="gramEnd"/>
      <w:r w:rsidRPr="00D410DA">
        <w:rPr>
          <w:rFonts w:ascii="Times New Roman" w:eastAsia="Calibri" w:hAnsi="Times New Roman" w:cs="Times New Roman"/>
          <w:sz w:val="20"/>
          <w:szCs w:val="20"/>
        </w:rPr>
        <w:t xml:space="preserve"> diabetic patients. International Journal of Food Sciences and Nutrition. </w:t>
      </w:r>
      <w:proofErr w:type="gramStart"/>
      <w:r w:rsidRPr="00D410DA">
        <w:rPr>
          <w:rFonts w:ascii="Times New Roman" w:eastAsia="Calibri" w:hAnsi="Times New Roman" w:cs="Times New Roman"/>
          <w:sz w:val="20"/>
          <w:szCs w:val="20"/>
        </w:rPr>
        <w:t>sept</w:t>
      </w:r>
      <w:proofErr w:type="gramEnd"/>
      <w:r w:rsidRPr="00D410DA">
        <w:rPr>
          <w:rFonts w:ascii="Times New Roman" w:eastAsia="Calibri" w:hAnsi="Times New Roman" w:cs="Times New Roman"/>
          <w:sz w:val="20"/>
          <w:szCs w:val="20"/>
        </w:rPr>
        <w:t xml:space="preserve"> 2013;64(6):682‑6.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lang w:val="fr-FR"/>
        </w:rPr>
      </w:pPr>
      <w:r w:rsidRPr="00D410DA">
        <w:rPr>
          <w:rFonts w:ascii="Times New Roman" w:eastAsia="Calibri" w:hAnsi="Times New Roman" w:cs="Times New Roman"/>
          <w:sz w:val="20"/>
          <w:szCs w:val="20"/>
        </w:rPr>
        <w:t xml:space="preserve">4. </w:t>
      </w:r>
      <w:r w:rsidRPr="00D410DA">
        <w:rPr>
          <w:rFonts w:ascii="Times New Roman" w:eastAsia="Calibri" w:hAnsi="Times New Roman" w:cs="Times New Roman"/>
          <w:sz w:val="20"/>
          <w:szCs w:val="20"/>
        </w:rPr>
        <w:tab/>
      </w:r>
      <w:proofErr w:type="spellStart"/>
      <w:r w:rsidRPr="00D410DA">
        <w:rPr>
          <w:rFonts w:ascii="Times New Roman" w:eastAsia="Calibri" w:hAnsi="Times New Roman" w:cs="Times New Roman"/>
          <w:sz w:val="20"/>
          <w:szCs w:val="20"/>
        </w:rPr>
        <w:t>Shidfar</w:t>
      </w:r>
      <w:proofErr w:type="spellEnd"/>
      <w:r w:rsidRPr="00D410DA">
        <w:rPr>
          <w:rFonts w:ascii="Times New Roman" w:eastAsia="Calibri" w:hAnsi="Times New Roman" w:cs="Times New Roman"/>
          <w:sz w:val="20"/>
          <w:szCs w:val="20"/>
        </w:rPr>
        <w:t xml:space="preserve"> F, Rajab A, </w:t>
      </w:r>
      <w:proofErr w:type="spellStart"/>
      <w:r w:rsidRPr="00D410DA">
        <w:rPr>
          <w:rFonts w:ascii="Times New Roman" w:eastAsia="Calibri" w:hAnsi="Times New Roman" w:cs="Times New Roman"/>
          <w:sz w:val="20"/>
          <w:szCs w:val="20"/>
        </w:rPr>
        <w:t>Rahideh</w:t>
      </w:r>
      <w:proofErr w:type="spellEnd"/>
      <w:r w:rsidRPr="00D410DA">
        <w:rPr>
          <w:rFonts w:ascii="Times New Roman" w:eastAsia="Calibri" w:hAnsi="Times New Roman" w:cs="Times New Roman"/>
          <w:sz w:val="20"/>
          <w:szCs w:val="20"/>
        </w:rPr>
        <w:t xml:space="preserve"> T, </w:t>
      </w:r>
      <w:proofErr w:type="spellStart"/>
      <w:r w:rsidRPr="00D410DA">
        <w:rPr>
          <w:rFonts w:ascii="Times New Roman" w:eastAsia="Calibri" w:hAnsi="Times New Roman" w:cs="Times New Roman"/>
          <w:sz w:val="20"/>
          <w:szCs w:val="20"/>
        </w:rPr>
        <w:t>Khandouzi</w:t>
      </w:r>
      <w:proofErr w:type="spellEnd"/>
      <w:r w:rsidRPr="00D410DA">
        <w:rPr>
          <w:rFonts w:ascii="Times New Roman" w:eastAsia="Calibri" w:hAnsi="Times New Roman" w:cs="Times New Roman"/>
          <w:sz w:val="20"/>
          <w:szCs w:val="20"/>
        </w:rPr>
        <w:t xml:space="preserve"> N, Hosseini S, </w:t>
      </w:r>
      <w:proofErr w:type="spellStart"/>
      <w:r w:rsidRPr="00D410DA">
        <w:rPr>
          <w:rFonts w:ascii="Times New Roman" w:eastAsia="Calibri" w:hAnsi="Times New Roman" w:cs="Times New Roman"/>
          <w:sz w:val="20"/>
          <w:szCs w:val="20"/>
        </w:rPr>
        <w:t>Shidfar</w:t>
      </w:r>
      <w:proofErr w:type="spellEnd"/>
      <w:r w:rsidRPr="00D410DA">
        <w:rPr>
          <w:rFonts w:ascii="Times New Roman" w:eastAsia="Calibri" w:hAnsi="Times New Roman" w:cs="Times New Roman"/>
          <w:sz w:val="20"/>
          <w:szCs w:val="20"/>
        </w:rPr>
        <w:t xml:space="preserve"> S. The effect of ginger (</w:t>
      </w:r>
      <w:proofErr w:type="spellStart"/>
      <w:r w:rsidRPr="00D410DA">
        <w:rPr>
          <w:rFonts w:ascii="Times New Roman" w:eastAsia="Calibri" w:hAnsi="Times New Roman" w:cs="Times New Roman"/>
          <w:sz w:val="20"/>
          <w:szCs w:val="20"/>
        </w:rPr>
        <w:t>Zingiber</w:t>
      </w:r>
      <w:proofErr w:type="spellEnd"/>
      <w:r w:rsidRPr="00D410DA">
        <w:rPr>
          <w:rFonts w:ascii="Times New Roman" w:eastAsia="Calibri" w:hAnsi="Times New Roman" w:cs="Times New Roman"/>
          <w:i/>
          <w:iCs/>
          <w:sz w:val="20"/>
          <w:szCs w:val="20"/>
        </w:rPr>
        <w:t xml:space="preserve"> </w:t>
      </w:r>
      <w:proofErr w:type="spellStart"/>
      <w:r w:rsidRPr="00D410DA">
        <w:rPr>
          <w:rFonts w:ascii="Times New Roman" w:eastAsia="Calibri" w:hAnsi="Times New Roman" w:cs="Times New Roman"/>
          <w:i/>
          <w:iCs/>
          <w:sz w:val="20"/>
          <w:szCs w:val="20"/>
        </w:rPr>
        <w:t>officinale</w:t>
      </w:r>
      <w:proofErr w:type="spellEnd"/>
      <w:r w:rsidRPr="00D410DA">
        <w:rPr>
          <w:rFonts w:ascii="Times New Roman" w:eastAsia="Calibri" w:hAnsi="Times New Roman" w:cs="Times New Roman"/>
          <w:sz w:val="20"/>
          <w:szCs w:val="20"/>
        </w:rPr>
        <w:t xml:space="preserve">) on glycemic markers in patients with type 2 diabetes. </w:t>
      </w:r>
      <w:r w:rsidRPr="00D410DA">
        <w:rPr>
          <w:rFonts w:ascii="Times New Roman" w:eastAsia="Calibri" w:hAnsi="Times New Roman" w:cs="Times New Roman"/>
          <w:sz w:val="20"/>
          <w:szCs w:val="20"/>
          <w:lang w:val="fr-FR"/>
        </w:rPr>
        <w:t xml:space="preserve">Journal of </w:t>
      </w:r>
      <w:proofErr w:type="spellStart"/>
      <w:r w:rsidRPr="00D410DA">
        <w:rPr>
          <w:rFonts w:ascii="Times New Roman" w:eastAsia="Calibri" w:hAnsi="Times New Roman" w:cs="Times New Roman"/>
          <w:sz w:val="20"/>
          <w:szCs w:val="20"/>
          <w:lang w:val="fr-FR"/>
        </w:rPr>
        <w:t>Complementary</w:t>
      </w:r>
      <w:proofErr w:type="spellEnd"/>
      <w:r w:rsidRPr="00D410DA">
        <w:rPr>
          <w:rFonts w:ascii="Times New Roman" w:eastAsia="Calibri" w:hAnsi="Times New Roman" w:cs="Times New Roman"/>
          <w:sz w:val="20"/>
          <w:szCs w:val="20"/>
          <w:lang w:val="fr-FR"/>
        </w:rPr>
        <w:t xml:space="preserve"> and </w:t>
      </w:r>
      <w:proofErr w:type="spellStart"/>
      <w:r w:rsidRPr="00D410DA">
        <w:rPr>
          <w:rFonts w:ascii="Times New Roman" w:eastAsia="Calibri" w:hAnsi="Times New Roman" w:cs="Times New Roman"/>
          <w:sz w:val="20"/>
          <w:szCs w:val="20"/>
          <w:lang w:val="fr-FR"/>
        </w:rPr>
        <w:t>Integrative</w:t>
      </w:r>
      <w:proofErr w:type="spellEnd"/>
      <w:r w:rsidRPr="00D410DA">
        <w:rPr>
          <w:rFonts w:ascii="Times New Roman" w:eastAsia="Calibri" w:hAnsi="Times New Roman" w:cs="Times New Roman"/>
          <w:sz w:val="20"/>
          <w:szCs w:val="20"/>
          <w:lang w:val="fr-FR"/>
        </w:rPr>
        <w:t xml:space="preserve"> </w:t>
      </w:r>
      <w:proofErr w:type="spellStart"/>
      <w:r w:rsidRPr="00D410DA">
        <w:rPr>
          <w:rFonts w:ascii="Times New Roman" w:eastAsia="Calibri" w:hAnsi="Times New Roman" w:cs="Times New Roman"/>
          <w:sz w:val="20"/>
          <w:szCs w:val="20"/>
          <w:lang w:val="fr-FR"/>
        </w:rPr>
        <w:t>Medicine</w:t>
      </w:r>
      <w:proofErr w:type="spellEnd"/>
      <w:r w:rsidRPr="00D410DA">
        <w:rPr>
          <w:rFonts w:ascii="Times New Roman" w:eastAsia="Calibri" w:hAnsi="Times New Roman" w:cs="Times New Roman"/>
          <w:sz w:val="20"/>
          <w:szCs w:val="20"/>
          <w:lang w:val="fr-FR"/>
        </w:rPr>
        <w:t xml:space="preserve">. 1 juin 2015 ;12(2) :165‑70.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rPr>
      </w:pPr>
      <w:r w:rsidRPr="00D410DA">
        <w:rPr>
          <w:rFonts w:ascii="Times New Roman" w:eastAsia="Calibri" w:hAnsi="Times New Roman" w:cs="Times New Roman"/>
          <w:sz w:val="20"/>
          <w:szCs w:val="20"/>
          <w:lang w:val="fr-FR"/>
        </w:rPr>
        <w:lastRenderedPageBreak/>
        <w:t xml:space="preserve">5. </w:t>
      </w:r>
      <w:r w:rsidRPr="00D410DA">
        <w:rPr>
          <w:rFonts w:ascii="Times New Roman" w:eastAsia="Calibri" w:hAnsi="Times New Roman" w:cs="Times New Roman"/>
          <w:sz w:val="20"/>
          <w:szCs w:val="20"/>
          <w:lang w:val="fr-FR"/>
        </w:rPr>
        <w:tab/>
      </w:r>
      <w:proofErr w:type="spellStart"/>
      <w:r w:rsidRPr="00D410DA">
        <w:rPr>
          <w:rFonts w:ascii="Times New Roman" w:eastAsia="Calibri" w:hAnsi="Times New Roman" w:cs="Times New Roman"/>
          <w:sz w:val="20"/>
          <w:szCs w:val="20"/>
          <w:lang w:val="fr-FR"/>
        </w:rPr>
        <w:t>Bahria</w:t>
      </w:r>
      <w:proofErr w:type="spellEnd"/>
      <w:r w:rsidRPr="00D410DA">
        <w:rPr>
          <w:rFonts w:ascii="Times New Roman" w:eastAsia="Calibri" w:hAnsi="Times New Roman" w:cs="Times New Roman"/>
          <w:sz w:val="20"/>
          <w:szCs w:val="20"/>
          <w:lang w:val="fr-FR"/>
        </w:rPr>
        <w:t xml:space="preserve"> K, </w:t>
      </w:r>
      <w:proofErr w:type="spellStart"/>
      <w:r w:rsidRPr="00D410DA">
        <w:rPr>
          <w:rFonts w:ascii="Times New Roman" w:eastAsia="Calibri" w:hAnsi="Times New Roman" w:cs="Times New Roman"/>
          <w:sz w:val="20"/>
          <w:szCs w:val="20"/>
          <w:lang w:val="fr-FR"/>
        </w:rPr>
        <w:t>Benachour</w:t>
      </w:r>
      <w:proofErr w:type="spellEnd"/>
      <w:r w:rsidRPr="00D410DA">
        <w:rPr>
          <w:rFonts w:ascii="Times New Roman" w:eastAsia="Calibri" w:hAnsi="Times New Roman" w:cs="Times New Roman"/>
          <w:sz w:val="20"/>
          <w:szCs w:val="20"/>
          <w:lang w:val="fr-FR"/>
        </w:rPr>
        <w:t xml:space="preserve"> K. Etude comparative de l’effet préventif du gingembre et du </w:t>
      </w:r>
      <w:proofErr w:type="spellStart"/>
      <w:r w:rsidRPr="00D410DA">
        <w:rPr>
          <w:rFonts w:ascii="Times New Roman" w:eastAsia="Calibri" w:hAnsi="Times New Roman" w:cs="Times New Roman"/>
          <w:sz w:val="20"/>
          <w:szCs w:val="20"/>
          <w:lang w:val="fr-FR"/>
        </w:rPr>
        <w:t>nadh</w:t>
      </w:r>
      <w:proofErr w:type="spellEnd"/>
      <w:r w:rsidRPr="00D410DA">
        <w:rPr>
          <w:rFonts w:ascii="Times New Roman" w:eastAsia="Calibri" w:hAnsi="Times New Roman" w:cs="Times New Roman"/>
          <w:sz w:val="20"/>
          <w:szCs w:val="20"/>
          <w:lang w:val="fr-FR"/>
        </w:rPr>
        <w:t xml:space="preserve"> sur un </w:t>
      </w:r>
      <w:proofErr w:type="spellStart"/>
      <w:r w:rsidRPr="00D410DA">
        <w:rPr>
          <w:rFonts w:ascii="Times New Roman" w:eastAsia="Calibri" w:hAnsi="Times New Roman" w:cs="Times New Roman"/>
          <w:sz w:val="20"/>
          <w:szCs w:val="20"/>
          <w:lang w:val="fr-FR"/>
        </w:rPr>
        <w:t>modéle</w:t>
      </w:r>
      <w:proofErr w:type="spellEnd"/>
      <w:r w:rsidRPr="00D410DA">
        <w:rPr>
          <w:rFonts w:ascii="Times New Roman" w:eastAsia="Calibri" w:hAnsi="Times New Roman" w:cs="Times New Roman"/>
          <w:sz w:val="20"/>
          <w:szCs w:val="20"/>
          <w:lang w:val="fr-FR"/>
        </w:rPr>
        <w:t xml:space="preserve"> de </w:t>
      </w:r>
      <w:proofErr w:type="spellStart"/>
      <w:r w:rsidRPr="00D410DA">
        <w:rPr>
          <w:rFonts w:ascii="Times New Roman" w:eastAsia="Calibri" w:hAnsi="Times New Roman" w:cs="Times New Roman"/>
          <w:sz w:val="20"/>
          <w:szCs w:val="20"/>
          <w:lang w:val="fr-FR"/>
        </w:rPr>
        <w:t>diabéte</w:t>
      </w:r>
      <w:proofErr w:type="spellEnd"/>
      <w:r w:rsidRPr="00D410DA">
        <w:rPr>
          <w:rFonts w:ascii="Times New Roman" w:eastAsia="Calibri" w:hAnsi="Times New Roman" w:cs="Times New Roman"/>
          <w:sz w:val="20"/>
          <w:szCs w:val="20"/>
          <w:lang w:val="fr-FR"/>
        </w:rPr>
        <w:t xml:space="preserve"> induit par la </w:t>
      </w:r>
      <w:proofErr w:type="spellStart"/>
      <w:r w:rsidRPr="00D410DA">
        <w:rPr>
          <w:rFonts w:ascii="Times New Roman" w:eastAsia="Calibri" w:hAnsi="Times New Roman" w:cs="Times New Roman"/>
          <w:sz w:val="20"/>
          <w:szCs w:val="20"/>
          <w:lang w:val="fr-FR"/>
        </w:rPr>
        <w:t>stréptozotocine</w:t>
      </w:r>
      <w:proofErr w:type="spellEnd"/>
      <w:r w:rsidRPr="00D410DA">
        <w:rPr>
          <w:rFonts w:ascii="Times New Roman" w:eastAsia="Calibri" w:hAnsi="Times New Roman" w:cs="Times New Roman"/>
          <w:sz w:val="20"/>
          <w:szCs w:val="20"/>
          <w:lang w:val="fr-FR"/>
        </w:rPr>
        <w:t xml:space="preserve"> chez le rat </w:t>
      </w:r>
      <w:proofErr w:type="spellStart"/>
      <w:r w:rsidRPr="00D410DA">
        <w:rPr>
          <w:rFonts w:ascii="Times New Roman" w:eastAsia="Calibri" w:hAnsi="Times New Roman" w:cs="Times New Roman"/>
          <w:sz w:val="20"/>
          <w:szCs w:val="20"/>
          <w:lang w:val="fr-FR"/>
        </w:rPr>
        <w:t>Wistar</w:t>
      </w:r>
      <w:proofErr w:type="spellEnd"/>
      <w:r w:rsidRPr="00D410DA">
        <w:rPr>
          <w:rFonts w:ascii="Times New Roman" w:eastAsia="Calibri" w:hAnsi="Times New Roman" w:cs="Times New Roman"/>
          <w:sz w:val="20"/>
          <w:szCs w:val="20"/>
          <w:lang w:val="fr-FR"/>
        </w:rPr>
        <w:t xml:space="preserve"> [Internet] [PhD </w:t>
      </w:r>
      <w:proofErr w:type="spellStart"/>
      <w:r w:rsidRPr="00D410DA">
        <w:rPr>
          <w:rFonts w:ascii="Times New Roman" w:eastAsia="Calibri" w:hAnsi="Times New Roman" w:cs="Times New Roman"/>
          <w:sz w:val="20"/>
          <w:szCs w:val="20"/>
          <w:lang w:val="fr-FR"/>
        </w:rPr>
        <w:t>Thesis</w:t>
      </w:r>
      <w:proofErr w:type="spellEnd"/>
      <w:r w:rsidRPr="00D410DA">
        <w:rPr>
          <w:rFonts w:ascii="Times New Roman" w:eastAsia="Calibri" w:hAnsi="Times New Roman" w:cs="Times New Roman"/>
          <w:sz w:val="20"/>
          <w:szCs w:val="20"/>
          <w:lang w:val="fr-FR"/>
        </w:rPr>
        <w:t xml:space="preserve">]. </w:t>
      </w:r>
      <w:r w:rsidRPr="00D410DA">
        <w:rPr>
          <w:rFonts w:ascii="Times New Roman" w:eastAsia="Calibri" w:hAnsi="Times New Roman" w:cs="Times New Roman"/>
          <w:sz w:val="20"/>
          <w:szCs w:val="20"/>
        </w:rPr>
        <w:t>2017 [</w:t>
      </w:r>
      <w:proofErr w:type="spellStart"/>
      <w:r w:rsidRPr="00D410DA">
        <w:rPr>
          <w:rFonts w:ascii="Times New Roman" w:eastAsia="Calibri" w:hAnsi="Times New Roman" w:cs="Times New Roman"/>
          <w:sz w:val="20"/>
          <w:szCs w:val="20"/>
        </w:rPr>
        <w:t>cité</w:t>
      </w:r>
      <w:proofErr w:type="spellEnd"/>
      <w:r w:rsidRPr="00D410DA">
        <w:rPr>
          <w:rFonts w:ascii="Times New Roman" w:eastAsia="Calibri" w:hAnsi="Times New Roman" w:cs="Times New Roman"/>
          <w:sz w:val="20"/>
          <w:szCs w:val="20"/>
        </w:rPr>
        <w:t xml:space="preserve"> 25 </w:t>
      </w:r>
      <w:proofErr w:type="spellStart"/>
      <w:proofErr w:type="gramStart"/>
      <w:r w:rsidRPr="00D410DA">
        <w:rPr>
          <w:rFonts w:ascii="Times New Roman" w:eastAsia="Calibri" w:hAnsi="Times New Roman" w:cs="Times New Roman"/>
          <w:sz w:val="20"/>
          <w:szCs w:val="20"/>
        </w:rPr>
        <w:t>nov</w:t>
      </w:r>
      <w:proofErr w:type="spellEnd"/>
      <w:proofErr w:type="gramEnd"/>
      <w:r w:rsidRPr="00D410DA">
        <w:rPr>
          <w:rFonts w:ascii="Times New Roman" w:eastAsia="Calibri" w:hAnsi="Times New Roman" w:cs="Times New Roman"/>
          <w:sz w:val="20"/>
          <w:szCs w:val="20"/>
        </w:rPr>
        <w:t xml:space="preserve"> 2023].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rPr>
      </w:pPr>
      <w:r w:rsidRPr="00D410DA">
        <w:rPr>
          <w:rFonts w:ascii="Times New Roman" w:eastAsia="Calibri" w:hAnsi="Times New Roman" w:cs="Times New Roman"/>
          <w:sz w:val="20"/>
          <w:szCs w:val="20"/>
        </w:rPr>
        <w:t xml:space="preserve">6. </w:t>
      </w:r>
      <w:r w:rsidRPr="00D410DA">
        <w:rPr>
          <w:rFonts w:ascii="Times New Roman" w:eastAsia="Calibri" w:hAnsi="Times New Roman" w:cs="Times New Roman"/>
          <w:sz w:val="20"/>
          <w:szCs w:val="20"/>
        </w:rPr>
        <w:tab/>
        <w:t>Nair AB, Jacob S. A simple practice guide for dose conversion between animals and human. Journal of basic and clinical pharmacy. 2016</w:t>
      </w:r>
      <w:proofErr w:type="gramStart"/>
      <w:r w:rsidRPr="00D410DA">
        <w:rPr>
          <w:rFonts w:ascii="Times New Roman" w:eastAsia="Calibri" w:hAnsi="Times New Roman" w:cs="Times New Roman"/>
          <w:sz w:val="20"/>
          <w:szCs w:val="20"/>
        </w:rPr>
        <w:t>;7</w:t>
      </w:r>
      <w:proofErr w:type="gramEnd"/>
      <w:r w:rsidRPr="00D410DA">
        <w:rPr>
          <w:rFonts w:ascii="Times New Roman" w:eastAsia="Calibri" w:hAnsi="Times New Roman" w:cs="Times New Roman"/>
          <w:sz w:val="20"/>
          <w:szCs w:val="20"/>
        </w:rPr>
        <w:t xml:space="preserve">(2):27.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rPr>
      </w:pPr>
      <w:r w:rsidRPr="00D410DA">
        <w:rPr>
          <w:rFonts w:ascii="Times New Roman" w:eastAsia="Calibri" w:hAnsi="Times New Roman" w:cs="Times New Roman"/>
          <w:sz w:val="20"/>
          <w:szCs w:val="20"/>
        </w:rPr>
        <w:t xml:space="preserve">7. </w:t>
      </w:r>
      <w:r w:rsidRPr="00D410DA">
        <w:rPr>
          <w:rFonts w:ascii="Times New Roman" w:eastAsia="Calibri" w:hAnsi="Times New Roman" w:cs="Times New Roman"/>
          <w:sz w:val="20"/>
          <w:szCs w:val="20"/>
        </w:rPr>
        <w:tab/>
        <w:t xml:space="preserve">The </w:t>
      </w:r>
      <w:proofErr w:type="gramStart"/>
      <w:r w:rsidRPr="00D410DA">
        <w:rPr>
          <w:rFonts w:ascii="Times New Roman" w:eastAsia="Calibri" w:hAnsi="Times New Roman" w:cs="Times New Roman"/>
          <w:sz w:val="20"/>
          <w:szCs w:val="20"/>
        </w:rPr>
        <w:t>9th</w:t>
      </w:r>
      <w:proofErr w:type="gramEnd"/>
      <w:r w:rsidRPr="00D410DA">
        <w:rPr>
          <w:rFonts w:ascii="Times New Roman" w:eastAsia="Calibri" w:hAnsi="Times New Roman" w:cs="Times New Roman"/>
          <w:sz w:val="20"/>
          <w:szCs w:val="20"/>
        </w:rPr>
        <w:t xml:space="preserve"> Edition European Pharmacopoeia: Maintaining high quality standards in a dynamic global environment - Portal [Internet]. [</w:t>
      </w:r>
      <w:proofErr w:type="spellStart"/>
      <w:proofErr w:type="gramStart"/>
      <w:r w:rsidRPr="00D410DA">
        <w:rPr>
          <w:rFonts w:ascii="Times New Roman" w:eastAsia="Calibri" w:hAnsi="Times New Roman" w:cs="Times New Roman"/>
          <w:sz w:val="20"/>
          <w:szCs w:val="20"/>
        </w:rPr>
        <w:t>cité</w:t>
      </w:r>
      <w:proofErr w:type="spellEnd"/>
      <w:proofErr w:type="gramEnd"/>
      <w:r w:rsidRPr="00D410DA">
        <w:rPr>
          <w:rFonts w:ascii="Times New Roman" w:eastAsia="Calibri" w:hAnsi="Times New Roman" w:cs="Times New Roman"/>
          <w:sz w:val="20"/>
          <w:szCs w:val="20"/>
        </w:rPr>
        <w:t xml:space="preserve"> 30 </w:t>
      </w:r>
      <w:proofErr w:type="spellStart"/>
      <w:r w:rsidRPr="00D410DA">
        <w:rPr>
          <w:rFonts w:ascii="Times New Roman" w:eastAsia="Calibri" w:hAnsi="Times New Roman" w:cs="Times New Roman"/>
          <w:sz w:val="20"/>
          <w:szCs w:val="20"/>
        </w:rPr>
        <w:t>nov</w:t>
      </w:r>
      <w:proofErr w:type="spellEnd"/>
      <w:r w:rsidRPr="00D410DA">
        <w:rPr>
          <w:rFonts w:ascii="Times New Roman" w:eastAsia="Calibri" w:hAnsi="Times New Roman" w:cs="Times New Roman"/>
          <w:sz w:val="20"/>
          <w:szCs w:val="20"/>
        </w:rPr>
        <w:t xml:space="preserve"> 2023].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rPr>
      </w:pPr>
      <w:r w:rsidRPr="00D410DA">
        <w:rPr>
          <w:rFonts w:ascii="Times New Roman" w:eastAsia="Calibri" w:hAnsi="Times New Roman" w:cs="Times New Roman"/>
          <w:sz w:val="20"/>
          <w:szCs w:val="20"/>
        </w:rPr>
        <w:t xml:space="preserve">8. </w:t>
      </w:r>
      <w:r w:rsidRPr="00D410DA">
        <w:rPr>
          <w:rFonts w:ascii="Times New Roman" w:eastAsia="Calibri" w:hAnsi="Times New Roman" w:cs="Times New Roman"/>
          <w:sz w:val="20"/>
          <w:szCs w:val="20"/>
        </w:rPr>
        <w:tab/>
      </w:r>
      <w:proofErr w:type="spellStart"/>
      <w:r w:rsidRPr="00D410DA">
        <w:rPr>
          <w:rFonts w:ascii="Times New Roman" w:eastAsia="Calibri" w:hAnsi="Times New Roman" w:cs="Times New Roman"/>
          <w:sz w:val="20"/>
          <w:szCs w:val="20"/>
        </w:rPr>
        <w:t>Jatsa</w:t>
      </w:r>
      <w:proofErr w:type="spellEnd"/>
      <w:r w:rsidRPr="00D410DA">
        <w:rPr>
          <w:rFonts w:ascii="Times New Roman" w:eastAsia="Calibri" w:hAnsi="Times New Roman" w:cs="Times New Roman"/>
          <w:sz w:val="20"/>
          <w:szCs w:val="20"/>
        </w:rPr>
        <w:t xml:space="preserve"> M, </w:t>
      </w:r>
      <w:proofErr w:type="spellStart"/>
      <w:r w:rsidRPr="00D410DA">
        <w:rPr>
          <w:rFonts w:ascii="Times New Roman" w:eastAsia="Calibri" w:hAnsi="Times New Roman" w:cs="Times New Roman"/>
          <w:sz w:val="20"/>
          <w:szCs w:val="20"/>
        </w:rPr>
        <w:t>Kanmogne</w:t>
      </w:r>
      <w:proofErr w:type="spellEnd"/>
      <w:r w:rsidRPr="00D410DA">
        <w:rPr>
          <w:rFonts w:ascii="Times New Roman" w:eastAsia="Calibri" w:hAnsi="Times New Roman" w:cs="Times New Roman"/>
          <w:sz w:val="20"/>
          <w:szCs w:val="20"/>
        </w:rPr>
        <w:t xml:space="preserve"> C, Djoko E, </w:t>
      </w:r>
      <w:proofErr w:type="spellStart"/>
      <w:r w:rsidRPr="00D410DA">
        <w:rPr>
          <w:rFonts w:ascii="Times New Roman" w:eastAsia="Calibri" w:hAnsi="Times New Roman" w:cs="Times New Roman"/>
          <w:sz w:val="20"/>
          <w:szCs w:val="20"/>
        </w:rPr>
        <w:t>Yimta</w:t>
      </w:r>
      <w:proofErr w:type="spellEnd"/>
      <w:r w:rsidRPr="00D410DA">
        <w:rPr>
          <w:rFonts w:ascii="Times New Roman" w:eastAsia="Calibri" w:hAnsi="Times New Roman" w:cs="Times New Roman"/>
          <w:sz w:val="20"/>
          <w:szCs w:val="20"/>
        </w:rPr>
        <w:t xml:space="preserve"> W, </w:t>
      </w:r>
      <w:proofErr w:type="spellStart"/>
      <w:r w:rsidRPr="00D410DA">
        <w:rPr>
          <w:rFonts w:ascii="Times New Roman" w:eastAsia="Calibri" w:hAnsi="Times New Roman" w:cs="Times New Roman"/>
          <w:sz w:val="20"/>
          <w:szCs w:val="20"/>
        </w:rPr>
        <w:t>Wouessidjewe</w:t>
      </w:r>
      <w:proofErr w:type="spellEnd"/>
      <w:r w:rsidRPr="00D410DA">
        <w:rPr>
          <w:rFonts w:ascii="Times New Roman" w:eastAsia="Calibri" w:hAnsi="Times New Roman" w:cs="Times New Roman"/>
          <w:sz w:val="20"/>
          <w:szCs w:val="20"/>
        </w:rPr>
        <w:t xml:space="preserve"> D. Formulation of anti-malaria capsules based on the fruit of </w:t>
      </w:r>
      <w:proofErr w:type="spellStart"/>
      <w:r w:rsidRPr="00D410DA">
        <w:rPr>
          <w:rFonts w:ascii="Times New Roman" w:eastAsia="Calibri" w:hAnsi="Times New Roman" w:cs="Times New Roman"/>
          <w:i/>
          <w:sz w:val="20"/>
          <w:szCs w:val="20"/>
        </w:rPr>
        <w:t>Picralima</w:t>
      </w:r>
      <w:proofErr w:type="spellEnd"/>
      <w:r w:rsidRPr="00D410DA">
        <w:rPr>
          <w:rFonts w:ascii="Times New Roman" w:eastAsia="Calibri" w:hAnsi="Times New Roman" w:cs="Times New Roman"/>
          <w:i/>
          <w:sz w:val="20"/>
          <w:szCs w:val="20"/>
        </w:rPr>
        <w:t xml:space="preserve"> </w:t>
      </w:r>
      <w:proofErr w:type="spellStart"/>
      <w:r w:rsidRPr="00D410DA">
        <w:rPr>
          <w:rFonts w:ascii="Times New Roman" w:eastAsia="Calibri" w:hAnsi="Times New Roman" w:cs="Times New Roman"/>
          <w:i/>
          <w:sz w:val="20"/>
          <w:szCs w:val="20"/>
        </w:rPr>
        <w:t>nitida</w:t>
      </w:r>
      <w:proofErr w:type="spellEnd"/>
      <w:r w:rsidRPr="00D410DA">
        <w:rPr>
          <w:rFonts w:ascii="Times New Roman" w:eastAsia="Calibri" w:hAnsi="Times New Roman" w:cs="Times New Roman"/>
          <w:sz w:val="20"/>
          <w:szCs w:val="20"/>
        </w:rPr>
        <w:t xml:space="preserve"> (</w:t>
      </w:r>
      <w:proofErr w:type="spellStart"/>
      <w:r w:rsidRPr="00D410DA">
        <w:rPr>
          <w:rFonts w:ascii="Times New Roman" w:eastAsia="Calibri" w:hAnsi="Times New Roman" w:cs="Times New Roman"/>
          <w:sz w:val="20"/>
          <w:szCs w:val="20"/>
        </w:rPr>
        <w:t>Stapf</w:t>
      </w:r>
      <w:proofErr w:type="spellEnd"/>
      <w:r w:rsidRPr="00D410DA">
        <w:rPr>
          <w:rFonts w:ascii="Times New Roman" w:eastAsia="Calibri" w:hAnsi="Times New Roman" w:cs="Times New Roman"/>
          <w:sz w:val="20"/>
          <w:szCs w:val="20"/>
        </w:rPr>
        <w:t>) T. Durand and H. Durand (</w:t>
      </w:r>
      <w:proofErr w:type="spellStart"/>
      <w:r w:rsidRPr="00D410DA">
        <w:rPr>
          <w:rFonts w:ascii="Times New Roman" w:eastAsia="Calibri" w:hAnsi="Times New Roman" w:cs="Times New Roman"/>
          <w:sz w:val="20"/>
          <w:szCs w:val="20"/>
        </w:rPr>
        <w:t>Apocynaceae</w:t>
      </w:r>
      <w:proofErr w:type="spellEnd"/>
      <w:r w:rsidRPr="00D410DA">
        <w:rPr>
          <w:rFonts w:ascii="Times New Roman" w:eastAsia="Calibri" w:hAnsi="Times New Roman" w:cs="Times New Roman"/>
          <w:sz w:val="20"/>
          <w:szCs w:val="20"/>
        </w:rPr>
        <w:t>. International Journal of Biological and Pharmaceutical Sciences Archive. 2023</w:t>
      </w:r>
      <w:proofErr w:type="gramStart"/>
      <w:r w:rsidRPr="00D410DA">
        <w:rPr>
          <w:rFonts w:ascii="Times New Roman" w:eastAsia="Calibri" w:hAnsi="Times New Roman" w:cs="Times New Roman"/>
          <w:sz w:val="20"/>
          <w:szCs w:val="20"/>
        </w:rPr>
        <w:t>;6</w:t>
      </w:r>
      <w:proofErr w:type="gramEnd"/>
      <w:r w:rsidRPr="00D410DA">
        <w:rPr>
          <w:rFonts w:ascii="Times New Roman" w:eastAsia="Calibri" w:hAnsi="Times New Roman" w:cs="Times New Roman"/>
          <w:sz w:val="20"/>
          <w:szCs w:val="20"/>
        </w:rPr>
        <w:t xml:space="preserve">(1):059‑67.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lang w:val="fr-FR"/>
        </w:rPr>
      </w:pPr>
      <w:r w:rsidRPr="00D410DA">
        <w:rPr>
          <w:rFonts w:ascii="Times New Roman" w:eastAsia="Calibri" w:hAnsi="Times New Roman" w:cs="Times New Roman"/>
          <w:sz w:val="20"/>
          <w:szCs w:val="20"/>
        </w:rPr>
        <w:t xml:space="preserve">9. </w:t>
      </w:r>
      <w:r w:rsidRPr="00D410DA">
        <w:rPr>
          <w:rFonts w:ascii="Times New Roman" w:eastAsia="Calibri" w:hAnsi="Times New Roman" w:cs="Times New Roman"/>
          <w:sz w:val="20"/>
          <w:szCs w:val="20"/>
        </w:rPr>
        <w:tab/>
      </w:r>
      <w:proofErr w:type="spellStart"/>
      <w:r w:rsidRPr="00D410DA">
        <w:rPr>
          <w:rFonts w:ascii="Times New Roman" w:eastAsia="Calibri" w:hAnsi="Times New Roman" w:cs="Times New Roman"/>
          <w:sz w:val="20"/>
          <w:szCs w:val="20"/>
        </w:rPr>
        <w:t>Chougouo-Nkuitchou</w:t>
      </w:r>
      <w:proofErr w:type="spellEnd"/>
      <w:r w:rsidRPr="00D410DA">
        <w:rPr>
          <w:rFonts w:ascii="Times New Roman" w:eastAsia="Calibri" w:hAnsi="Times New Roman" w:cs="Times New Roman"/>
          <w:sz w:val="20"/>
          <w:szCs w:val="20"/>
        </w:rPr>
        <w:t xml:space="preserve"> RDK, </w:t>
      </w:r>
      <w:proofErr w:type="spellStart"/>
      <w:r w:rsidRPr="00D410DA">
        <w:rPr>
          <w:rFonts w:ascii="Times New Roman" w:eastAsia="Calibri" w:hAnsi="Times New Roman" w:cs="Times New Roman"/>
          <w:sz w:val="20"/>
          <w:szCs w:val="20"/>
        </w:rPr>
        <w:t>N’guessan</w:t>
      </w:r>
      <w:proofErr w:type="spellEnd"/>
      <w:r w:rsidRPr="00D410DA">
        <w:rPr>
          <w:rFonts w:ascii="Times New Roman" w:eastAsia="Calibri" w:hAnsi="Times New Roman" w:cs="Times New Roman"/>
          <w:sz w:val="20"/>
          <w:szCs w:val="20"/>
        </w:rPr>
        <w:t xml:space="preserve"> A, </w:t>
      </w:r>
      <w:proofErr w:type="spellStart"/>
      <w:r w:rsidRPr="00D410DA">
        <w:rPr>
          <w:rFonts w:ascii="Times New Roman" w:eastAsia="Calibri" w:hAnsi="Times New Roman" w:cs="Times New Roman"/>
          <w:sz w:val="20"/>
          <w:szCs w:val="20"/>
        </w:rPr>
        <w:t>Nkamenjo</w:t>
      </w:r>
      <w:proofErr w:type="spellEnd"/>
      <w:r w:rsidRPr="00D410DA">
        <w:rPr>
          <w:rFonts w:ascii="Times New Roman" w:eastAsia="Calibri" w:hAnsi="Times New Roman" w:cs="Times New Roman"/>
          <w:sz w:val="20"/>
          <w:szCs w:val="20"/>
        </w:rPr>
        <w:t xml:space="preserve"> C, Djoko E, </w:t>
      </w:r>
      <w:proofErr w:type="spellStart"/>
      <w:r w:rsidRPr="00D410DA">
        <w:rPr>
          <w:rFonts w:ascii="Times New Roman" w:eastAsia="Calibri" w:hAnsi="Times New Roman" w:cs="Times New Roman"/>
          <w:sz w:val="20"/>
          <w:szCs w:val="20"/>
        </w:rPr>
        <w:t>Kouamouo</w:t>
      </w:r>
      <w:proofErr w:type="spellEnd"/>
      <w:r w:rsidRPr="00D410DA">
        <w:rPr>
          <w:rFonts w:ascii="Times New Roman" w:eastAsia="Calibri" w:hAnsi="Times New Roman" w:cs="Times New Roman"/>
          <w:sz w:val="20"/>
          <w:szCs w:val="20"/>
        </w:rPr>
        <w:t xml:space="preserve"> J, </w:t>
      </w:r>
      <w:proofErr w:type="spellStart"/>
      <w:r w:rsidRPr="00D410DA">
        <w:rPr>
          <w:rFonts w:ascii="Times New Roman" w:eastAsia="Calibri" w:hAnsi="Times New Roman" w:cs="Times New Roman"/>
          <w:sz w:val="20"/>
          <w:szCs w:val="20"/>
        </w:rPr>
        <w:t>Tane</w:t>
      </w:r>
      <w:proofErr w:type="spellEnd"/>
      <w:r w:rsidRPr="00D410DA">
        <w:rPr>
          <w:rFonts w:ascii="Times New Roman" w:eastAsia="Calibri" w:hAnsi="Times New Roman" w:cs="Times New Roman"/>
          <w:sz w:val="20"/>
          <w:szCs w:val="20"/>
        </w:rPr>
        <w:t xml:space="preserve"> P, et al. </w:t>
      </w:r>
      <w:r w:rsidRPr="00D410DA">
        <w:rPr>
          <w:rFonts w:ascii="Times New Roman" w:eastAsia="Calibri" w:hAnsi="Times New Roman" w:cs="Times New Roman"/>
          <w:sz w:val="20"/>
          <w:szCs w:val="20"/>
          <w:lang w:val="fr-FR"/>
        </w:rPr>
        <w:t>Formulation de Gélules à Base de Feuilles et de Tiges d’</w:t>
      </w:r>
      <w:proofErr w:type="spellStart"/>
      <w:r w:rsidRPr="00D410DA">
        <w:rPr>
          <w:rFonts w:ascii="Times New Roman" w:eastAsia="Calibri" w:hAnsi="Times New Roman" w:cs="Times New Roman"/>
          <w:i/>
          <w:sz w:val="20"/>
          <w:szCs w:val="20"/>
          <w:lang w:val="fr-FR"/>
        </w:rPr>
        <w:t>Artemisia</w:t>
      </w:r>
      <w:proofErr w:type="spellEnd"/>
      <w:r w:rsidRPr="00D410DA">
        <w:rPr>
          <w:rFonts w:ascii="Times New Roman" w:eastAsia="Calibri" w:hAnsi="Times New Roman" w:cs="Times New Roman"/>
          <w:i/>
          <w:sz w:val="20"/>
          <w:szCs w:val="20"/>
          <w:lang w:val="fr-FR"/>
        </w:rPr>
        <w:t xml:space="preserve"> </w:t>
      </w:r>
      <w:proofErr w:type="spellStart"/>
      <w:r w:rsidRPr="00D410DA">
        <w:rPr>
          <w:rFonts w:ascii="Times New Roman" w:eastAsia="Calibri" w:hAnsi="Times New Roman" w:cs="Times New Roman"/>
          <w:i/>
          <w:sz w:val="20"/>
          <w:szCs w:val="20"/>
          <w:lang w:val="fr-FR"/>
        </w:rPr>
        <w:t>Annua</w:t>
      </w:r>
      <w:proofErr w:type="spellEnd"/>
      <w:r w:rsidRPr="00D410DA">
        <w:rPr>
          <w:rFonts w:ascii="Times New Roman" w:eastAsia="Calibri" w:hAnsi="Times New Roman" w:cs="Times New Roman"/>
          <w:i/>
          <w:sz w:val="20"/>
          <w:szCs w:val="20"/>
          <w:lang w:val="fr-FR"/>
        </w:rPr>
        <w:t>.</w:t>
      </w:r>
      <w:r w:rsidRPr="00D410DA">
        <w:rPr>
          <w:rFonts w:ascii="Times New Roman" w:eastAsia="Calibri" w:hAnsi="Times New Roman" w:cs="Times New Roman"/>
          <w:sz w:val="20"/>
          <w:szCs w:val="20"/>
          <w:lang w:val="fr-FR"/>
        </w:rPr>
        <w:t xml:space="preserve"> </w:t>
      </w:r>
      <w:proofErr w:type="spellStart"/>
      <w:r w:rsidR="00D410DA" w:rsidRPr="00D410DA">
        <w:rPr>
          <w:rFonts w:ascii="Times New Roman" w:eastAsia="Calibri" w:hAnsi="Times New Roman" w:cs="Times New Roman"/>
          <w:sz w:val="20"/>
          <w:szCs w:val="20"/>
          <w:lang w:val="fr-FR"/>
        </w:rPr>
        <w:t>Health</w:t>
      </w:r>
      <w:proofErr w:type="spellEnd"/>
      <w:r w:rsidR="00D410DA" w:rsidRPr="00D410DA">
        <w:rPr>
          <w:rFonts w:ascii="Times New Roman" w:eastAsia="Calibri" w:hAnsi="Times New Roman" w:cs="Times New Roman"/>
          <w:sz w:val="20"/>
          <w:szCs w:val="20"/>
          <w:lang w:val="fr-FR"/>
        </w:rPr>
        <w:t xml:space="preserve"> Sciences And </w:t>
      </w:r>
      <w:proofErr w:type="spellStart"/>
      <w:r w:rsidR="00D410DA" w:rsidRPr="00D410DA">
        <w:rPr>
          <w:rFonts w:ascii="Times New Roman" w:eastAsia="Calibri" w:hAnsi="Times New Roman" w:cs="Times New Roman"/>
          <w:sz w:val="20"/>
          <w:szCs w:val="20"/>
          <w:lang w:val="fr-FR"/>
        </w:rPr>
        <w:t>Disease</w:t>
      </w:r>
      <w:proofErr w:type="spellEnd"/>
      <w:r w:rsidRPr="00D410DA">
        <w:rPr>
          <w:rFonts w:ascii="Times New Roman" w:eastAsia="Calibri" w:hAnsi="Times New Roman" w:cs="Times New Roman"/>
          <w:sz w:val="20"/>
          <w:szCs w:val="20"/>
          <w:lang w:val="fr-FR"/>
        </w:rPr>
        <w:t xml:space="preserve"> [Internet]. 21 mars 2020 [cité 7 mai 2024] ;21(4).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rPr>
      </w:pPr>
      <w:r w:rsidRPr="00D410DA">
        <w:rPr>
          <w:rFonts w:ascii="Times New Roman" w:eastAsia="Calibri" w:hAnsi="Times New Roman" w:cs="Times New Roman"/>
          <w:sz w:val="20"/>
          <w:szCs w:val="20"/>
          <w:lang w:val="fr-FR"/>
        </w:rPr>
        <w:t xml:space="preserve">10. </w:t>
      </w:r>
      <w:r w:rsidRPr="00D410DA">
        <w:rPr>
          <w:rFonts w:ascii="Times New Roman" w:eastAsia="Calibri" w:hAnsi="Times New Roman" w:cs="Times New Roman"/>
          <w:sz w:val="20"/>
          <w:szCs w:val="20"/>
          <w:lang w:val="fr-FR"/>
        </w:rPr>
        <w:tab/>
      </w:r>
      <w:proofErr w:type="spellStart"/>
      <w:r w:rsidRPr="00D410DA">
        <w:rPr>
          <w:rFonts w:ascii="Times New Roman" w:eastAsia="Calibri" w:hAnsi="Times New Roman" w:cs="Times New Roman"/>
          <w:sz w:val="20"/>
          <w:szCs w:val="20"/>
          <w:lang w:val="fr-FR"/>
        </w:rPr>
        <w:t>Abdelli</w:t>
      </w:r>
      <w:proofErr w:type="spellEnd"/>
      <w:r w:rsidRPr="00D410DA">
        <w:rPr>
          <w:rFonts w:ascii="Times New Roman" w:eastAsia="Calibri" w:hAnsi="Times New Roman" w:cs="Times New Roman"/>
          <w:sz w:val="20"/>
          <w:szCs w:val="20"/>
          <w:lang w:val="fr-FR"/>
        </w:rPr>
        <w:t xml:space="preserve"> S, Ait El </w:t>
      </w:r>
      <w:proofErr w:type="spellStart"/>
      <w:r w:rsidRPr="00D410DA">
        <w:rPr>
          <w:rFonts w:ascii="Times New Roman" w:eastAsia="Calibri" w:hAnsi="Times New Roman" w:cs="Times New Roman"/>
          <w:sz w:val="20"/>
          <w:szCs w:val="20"/>
          <w:lang w:val="fr-FR"/>
        </w:rPr>
        <w:t>Menceur</w:t>
      </w:r>
      <w:proofErr w:type="spellEnd"/>
      <w:r w:rsidRPr="00D410DA">
        <w:rPr>
          <w:rFonts w:ascii="Times New Roman" w:eastAsia="Calibri" w:hAnsi="Times New Roman" w:cs="Times New Roman"/>
          <w:sz w:val="20"/>
          <w:szCs w:val="20"/>
          <w:lang w:val="fr-FR"/>
        </w:rPr>
        <w:t xml:space="preserve"> A. Extraction des huiles essentielles et </w:t>
      </w:r>
      <w:proofErr w:type="gramStart"/>
      <w:r w:rsidRPr="00D410DA">
        <w:rPr>
          <w:rFonts w:ascii="Times New Roman" w:eastAsia="Calibri" w:hAnsi="Times New Roman" w:cs="Times New Roman"/>
          <w:sz w:val="20"/>
          <w:szCs w:val="20"/>
          <w:lang w:val="fr-FR"/>
        </w:rPr>
        <w:t>des extrait phénoliques</w:t>
      </w:r>
      <w:proofErr w:type="gramEnd"/>
      <w:r w:rsidRPr="00D410DA">
        <w:rPr>
          <w:rFonts w:ascii="Times New Roman" w:eastAsia="Calibri" w:hAnsi="Times New Roman" w:cs="Times New Roman"/>
          <w:sz w:val="20"/>
          <w:szCs w:val="20"/>
          <w:lang w:val="fr-FR"/>
        </w:rPr>
        <w:t xml:space="preserve"> du gingembre (</w:t>
      </w:r>
      <w:proofErr w:type="spellStart"/>
      <w:r w:rsidRPr="00D410DA">
        <w:rPr>
          <w:rFonts w:ascii="Times New Roman" w:eastAsia="Calibri" w:hAnsi="Times New Roman" w:cs="Times New Roman"/>
          <w:i/>
          <w:sz w:val="20"/>
          <w:szCs w:val="20"/>
          <w:lang w:val="fr-FR"/>
        </w:rPr>
        <w:t>Zingiber</w:t>
      </w:r>
      <w:proofErr w:type="spellEnd"/>
      <w:r w:rsidRPr="00D410DA">
        <w:rPr>
          <w:rFonts w:ascii="Times New Roman" w:eastAsia="Calibri" w:hAnsi="Times New Roman" w:cs="Times New Roman"/>
          <w:i/>
          <w:sz w:val="20"/>
          <w:szCs w:val="20"/>
          <w:lang w:val="fr-FR"/>
        </w:rPr>
        <w:t xml:space="preserve"> officinale</w:t>
      </w:r>
      <w:r w:rsidRPr="00D410DA">
        <w:rPr>
          <w:rFonts w:ascii="Times New Roman" w:eastAsia="Calibri" w:hAnsi="Times New Roman" w:cs="Times New Roman"/>
          <w:sz w:val="20"/>
          <w:szCs w:val="20"/>
          <w:lang w:val="fr-FR"/>
        </w:rPr>
        <w:t xml:space="preserve">), caractérisation de leurs activités biologiques–caractérisation physicochimique, </w:t>
      </w:r>
      <w:proofErr w:type="spellStart"/>
      <w:r w:rsidRPr="00D410DA">
        <w:rPr>
          <w:rFonts w:ascii="Times New Roman" w:eastAsia="Calibri" w:hAnsi="Times New Roman" w:cs="Times New Roman"/>
          <w:sz w:val="20"/>
          <w:szCs w:val="20"/>
          <w:lang w:val="fr-FR"/>
        </w:rPr>
        <w:t>phytochimique</w:t>
      </w:r>
      <w:proofErr w:type="spellEnd"/>
      <w:r w:rsidRPr="00D410DA">
        <w:rPr>
          <w:rFonts w:ascii="Times New Roman" w:eastAsia="Calibri" w:hAnsi="Times New Roman" w:cs="Times New Roman"/>
          <w:sz w:val="20"/>
          <w:szCs w:val="20"/>
          <w:lang w:val="fr-FR"/>
        </w:rPr>
        <w:t xml:space="preserve"> du gingembre [Internet] [PhD </w:t>
      </w:r>
      <w:proofErr w:type="spellStart"/>
      <w:r w:rsidRPr="00D410DA">
        <w:rPr>
          <w:rFonts w:ascii="Times New Roman" w:eastAsia="Calibri" w:hAnsi="Times New Roman" w:cs="Times New Roman"/>
          <w:sz w:val="20"/>
          <w:szCs w:val="20"/>
          <w:lang w:val="fr-FR"/>
        </w:rPr>
        <w:t>Thesis</w:t>
      </w:r>
      <w:proofErr w:type="spellEnd"/>
      <w:r w:rsidRPr="00D410DA">
        <w:rPr>
          <w:rFonts w:ascii="Times New Roman" w:eastAsia="Calibri" w:hAnsi="Times New Roman" w:cs="Times New Roman"/>
          <w:sz w:val="20"/>
          <w:szCs w:val="20"/>
          <w:lang w:val="fr-FR"/>
        </w:rPr>
        <w:t xml:space="preserve">]. </w:t>
      </w:r>
      <w:proofErr w:type="spellStart"/>
      <w:r w:rsidRPr="00D410DA">
        <w:rPr>
          <w:rFonts w:ascii="Times New Roman" w:eastAsia="Calibri" w:hAnsi="Times New Roman" w:cs="Times New Roman"/>
          <w:sz w:val="20"/>
          <w:szCs w:val="20"/>
        </w:rPr>
        <w:t>Université</w:t>
      </w:r>
      <w:proofErr w:type="spellEnd"/>
      <w:r w:rsidRPr="00D410DA">
        <w:rPr>
          <w:rFonts w:ascii="Times New Roman" w:eastAsia="Calibri" w:hAnsi="Times New Roman" w:cs="Times New Roman"/>
          <w:sz w:val="20"/>
          <w:szCs w:val="20"/>
        </w:rPr>
        <w:t xml:space="preserve"> </w:t>
      </w:r>
      <w:proofErr w:type="spellStart"/>
      <w:r w:rsidRPr="00D410DA">
        <w:rPr>
          <w:rFonts w:ascii="Times New Roman" w:eastAsia="Calibri" w:hAnsi="Times New Roman" w:cs="Times New Roman"/>
          <w:sz w:val="20"/>
          <w:szCs w:val="20"/>
        </w:rPr>
        <w:t>Mouloud</w:t>
      </w:r>
      <w:proofErr w:type="spellEnd"/>
      <w:r w:rsidRPr="00D410DA">
        <w:rPr>
          <w:rFonts w:ascii="Times New Roman" w:eastAsia="Calibri" w:hAnsi="Times New Roman" w:cs="Times New Roman"/>
          <w:sz w:val="20"/>
          <w:szCs w:val="20"/>
        </w:rPr>
        <w:t xml:space="preserve"> </w:t>
      </w:r>
      <w:proofErr w:type="spellStart"/>
      <w:proofErr w:type="gramStart"/>
      <w:r w:rsidRPr="00D410DA">
        <w:rPr>
          <w:rFonts w:ascii="Times New Roman" w:eastAsia="Calibri" w:hAnsi="Times New Roman" w:cs="Times New Roman"/>
          <w:sz w:val="20"/>
          <w:szCs w:val="20"/>
        </w:rPr>
        <w:t>Mammeri</w:t>
      </w:r>
      <w:proofErr w:type="spellEnd"/>
      <w:r w:rsidRPr="00D410DA">
        <w:rPr>
          <w:rFonts w:ascii="Times New Roman" w:eastAsia="Calibri" w:hAnsi="Times New Roman" w:cs="Times New Roman"/>
          <w:sz w:val="20"/>
          <w:szCs w:val="20"/>
        </w:rPr>
        <w:t xml:space="preserve"> ;</w:t>
      </w:r>
      <w:proofErr w:type="gramEnd"/>
      <w:r w:rsidRPr="00D410DA">
        <w:rPr>
          <w:rFonts w:ascii="Times New Roman" w:eastAsia="Calibri" w:hAnsi="Times New Roman" w:cs="Times New Roman"/>
          <w:sz w:val="20"/>
          <w:szCs w:val="20"/>
        </w:rPr>
        <w:t xml:space="preserve"> 2023 [</w:t>
      </w:r>
      <w:proofErr w:type="spellStart"/>
      <w:r w:rsidRPr="00D410DA">
        <w:rPr>
          <w:rFonts w:ascii="Times New Roman" w:eastAsia="Calibri" w:hAnsi="Times New Roman" w:cs="Times New Roman"/>
          <w:sz w:val="20"/>
          <w:szCs w:val="20"/>
        </w:rPr>
        <w:t>cité</w:t>
      </w:r>
      <w:proofErr w:type="spellEnd"/>
      <w:r w:rsidRPr="00D410DA">
        <w:rPr>
          <w:rFonts w:ascii="Times New Roman" w:eastAsia="Calibri" w:hAnsi="Times New Roman" w:cs="Times New Roman"/>
          <w:sz w:val="20"/>
          <w:szCs w:val="20"/>
        </w:rPr>
        <w:t xml:space="preserve"> 16 </w:t>
      </w:r>
      <w:proofErr w:type="spellStart"/>
      <w:r w:rsidRPr="00D410DA">
        <w:rPr>
          <w:rFonts w:ascii="Times New Roman" w:eastAsia="Calibri" w:hAnsi="Times New Roman" w:cs="Times New Roman"/>
          <w:sz w:val="20"/>
          <w:szCs w:val="20"/>
        </w:rPr>
        <w:t>mai</w:t>
      </w:r>
      <w:proofErr w:type="spellEnd"/>
      <w:r w:rsidRPr="00D410DA">
        <w:rPr>
          <w:rFonts w:ascii="Times New Roman" w:eastAsia="Calibri" w:hAnsi="Times New Roman" w:cs="Times New Roman"/>
          <w:sz w:val="20"/>
          <w:szCs w:val="20"/>
        </w:rPr>
        <w:t xml:space="preserve"> 2024].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lang w:val="fr-FR"/>
        </w:rPr>
      </w:pPr>
      <w:r w:rsidRPr="00D410DA">
        <w:rPr>
          <w:rFonts w:ascii="Times New Roman" w:eastAsia="Calibri" w:hAnsi="Times New Roman" w:cs="Times New Roman"/>
          <w:sz w:val="20"/>
          <w:szCs w:val="20"/>
        </w:rPr>
        <w:t xml:space="preserve">11. </w:t>
      </w:r>
      <w:r w:rsidRPr="00D410DA">
        <w:rPr>
          <w:rFonts w:ascii="Times New Roman" w:eastAsia="Calibri" w:hAnsi="Times New Roman" w:cs="Times New Roman"/>
          <w:sz w:val="20"/>
          <w:szCs w:val="20"/>
        </w:rPr>
        <w:tab/>
      </w:r>
      <w:proofErr w:type="spellStart"/>
      <w:r w:rsidRPr="00D410DA">
        <w:rPr>
          <w:rFonts w:ascii="Times New Roman" w:eastAsia="Calibri" w:hAnsi="Times New Roman" w:cs="Times New Roman"/>
          <w:sz w:val="20"/>
          <w:szCs w:val="20"/>
        </w:rPr>
        <w:t>Fajar</w:t>
      </w:r>
      <w:proofErr w:type="spellEnd"/>
      <w:r w:rsidRPr="00D410DA">
        <w:rPr>
          <w:rFonts w:ascii="Times New Roman" w:eastAsia="Calibri" w:hAnsi="Times New Roman" w:cs="Times New Roman"/>
          <w:sz w:val="20"/>
          <w:szCs w:val="20"/>
        </w:rPr>
        <w:t xml:space="preserve"> N, </w:t>
      </w:r>
      <w:proofErr w:type="spellStart"/>
      <w:r w:rsidRPr="00D410DA">
        <w:rPr>
          <w:rFonts w:ascii="Times New Roman" w:eastAsia="Calibri" w:hAnsi="Times New Roman" w:cs="Times New Roman"/>
          <w:sz w:val="20"/>
          <w:szCs w:val="20"/>
        </w:rPr>
        <w:t>Didik</w:t>
      </w:r>
      <w:proofErr w:type="spellEnd"/>
      <w:r w:rsidRPr="00D410DA">
        <w:rPr>
          <w:rFonts w:ascii="Times New Roman" w:eastAsia="Calibri" w:hAnsi="Times New Roman" w:cs="Times New Roman"/>
          <w:sz w:val="20"/>
          <w:szCs w:val="20"/>
        </w:rPr>
        <w:t xml:space="preserve"> G, </w:t>
      </w:r>
      <w:proofErr w:type="spellStart"/>
      <w:r w:rsidRPr="00D410DA">
        <w:rPr>
          <w:rFonts w:ascii="Times New Roman" w:eastAsia="Calibri" w:hAnsi="Times New Roman" w:cs="Times New Roman"/>
          <w:sz w:val="20"/>
          <w:szCs w:val="20"/>
        </w:rPr>
        <w:t>Hanung</w:t>
      </w:r>
      <w:proofErr w:type="spellEnd"/>
      <w:r w:rsidRPr="00D410DA">
        <w:rPr>
          <w:rFonts w:ascii="Times New Roman" w:eastAsia="Calibri" w:hAnsi="Times New Roman" w:cs="Times New Roman"/>
          <w:sz w:val="20"/>
          <w:szCs w:val="20"/>
        </w:rPr>
        <w:t xml:space="preserve"> P. Effect of </w:t>
      </w:r>
      <w:proofErr w:type="spellStart"/>
      <w:r w:rsidRPr="00D410DA">
        <w:rPr>
          <w:rFonts w:ascii="Times New Roman" w:eastAsia="Calibri" w:hAnsi="Times New Roman" w:cs="Times New Roman"/>
          <w:i/>
          <w:sz w:val="20"/>
          <w:szCs w:val="20"/>
        </w:rPr>
        <w:t>Zingiber</w:t>
      </w:r>
      <w:proofErr w:type="spellEnd"/>
      <w:r w:rsidRPr="00D410DA">
        <w:rPr>
          <w:rFonts w:ascii="Times New Roman" w:eastAsia="Calibri" w:hAnsi="Times New Roman" w:cs="Times New Roman"/>
          <w:i/>
          <w:sz w:val="20"/>
          <w:szCs w:val="20"/>
        </w:rPr>
        <w:t xml:space="preserve"> </w:t>
      </w:r>
      <w:proofErr w:type="spellStart"/>
      <w:r w:rsidRPr="00D410DA">
        <w:rPr>
          <w:rFonts w:ascii="Times New Roman" w:eastAsia="Calibri" w:hAnsi="Times New Roman" w:cs="Times New Roman"/>
          <w:i/>
          <w:sz w:val="20"/>
          <w:szCs w:val="20"/>
        </w:rPr>
        <w:t>officinale</w:t>
      </w:r>
      <w:proofErr w:type="spellEnd"/>
      <w:r w:rsidRPr="00D410DA">
        <w:rPr>
          <w:rFonts w:ascii="Times New Roman" w:eastAsia="Calibri" w:hAnsi="Times New Roman" w:cs="Times New Roman"/>
          <w:sz w:val="20"/>
          <w:szCs w:val="20"/>
        </w:rPr>
        <w:t xml:space="preserve"> Rhizome Powder on Fasting Blood Sugar Levels and HbA1c in Type 2 Diabetes Mellitus Patients: A Meta-Analysis. </w:t>
      </w:r>
      <w:r w:rsidRPr="00D410DA">
        <w:rPr>
          <w:rFonts w:ascii="Times New Roman" w:eastAsia="Calibri" w:hAnsi="Times New Roman" w:cs="Times New Roman"/>
          <w:sz w:val="20"/>
          <w:szCs w:val="20"/>
          <w:lang w:val="fr-FR"/>
        </w:rPr>
        <w:t xml:space="preserve">Journal indonésien de médecine. 2022 ;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lang w:val="fr-FR"/>
        </w:rPr>
      </w:pPr>
      <w:r w:rsidRPr="00D410DA">
        <w:rPr>
          <w:rFonts w:ascii="Times New Roman" w:eastAsia="Calibri" w:hAnsi="Times New Roman" w:cs="Times New Roman"/>
          <w:sz w:val="20"/>
          <w:szCs w:val="20"/>
          <w:lang w:val="fr-FR"/>
        </w:rPr>
        <w:t xml:space="preserve">12. </w:t>
      </w:r>
      <w:r w:rsidRPr="00D410DA">
        <w:rPr>
          <w:rFonts w:ascii="Times New Roman" w:eastAsia="Calibri" w:hAnsi="Times New Roman" w:cs="Times New Roman"/>
          <w:sz w:val="20"/>
          <w:szCs w:val="20"/>
          <w:lang w:val="fr-FR"/>
        </w:rPr>
        <w:tab/>
        <w:t xml:space="preserve">Rowe RC, </w:t>
      </w:r>
      <w:proofErr w:type="spellStart"/>
      <w:r w:rsidRPr="00D410DA">
        <w:rPr>
          <w:rFonts w:ascii="Times New Roman" w:eastAsia="Calibri" w:hAnsi="Times New Roman" w:cs="Times New Roman"/>
          <w:sz w:val="20"/>
          <w:szCs w:val="20"/>
          <w:lang w:val="fr-FR"/>
        </w:rPr>
        <w:t>Sheskey</w:t>
      </w:r>
      <w:proofErr w:type="spellEnd"/>
      <w:r w:rsidRPr="00D410DA">
        <w:rPr>
          <w:rFonts w:ascii="Times New Roman" w:eastAsia="Calibri" w:hAnsi="Times New Roman" w:cs="Times New Roman"/>
          <w:sz w:val="20"/>
          <w:szCs w:val="20"/>
          <w:lang w:val="fr-FR"/>
        </w:rPr>
        <w:t xml:space="preserve"> PJ, Owen SC. </w:t>
      </w:r>
      <w:r w:rsidRPr="00D410DA">
        <w:rPr>
          <w:rFonts w:ascii="Times New Roman" w:eastAsia="Calibri" w:hAnsi="Times New Roman" w:cs="Times New Roman"/>
          <w:sz w:val="20"/>
          <w:szCs w:val="20"/>
        </w:rPr>
        <w:t xml:space="preserve">Handbook of Pharmaceutical Excipients. Pharmaceutical Press; 2006. </w:t>
      </w:r>
      <w:r w:rsidRPr="00D410DA">
        <w:rPr>
          <w:rFonts w:ascii="Times New Roman" w:eastAsia="Calibri" w:hAnsi="Times New Roman" w:cs="Times New Roman"/>
          <w:sz w:val="20"/>
          <w:szCs w:val="20"/>
          <w:lang w:val="fr-FR"/>
        </w:rPr>
        <w:t xml:space="preserve">984 p. </w:t>
      </w:r>
    </w:p>
    <w:p w:rsidR="002C1C73" w:rsidRPr="00D410DA" w:rsidRDefault="002C1C73" w:rsidP="002C1C73">
      <w:pPr>
        <w:tabs>
          <w:tab w:val="left" w:pos="504"/>
        </w:tabs>
        <w:spacing w:after="240" w:line="360" w:lineRule="auto"/>
        <w:ind w:left="504" w:hanging="504"/>
        <w:jc w:val="both"/>
        <w:rPr>
          <w:rFonts w:ascii="Times New Roman" w:eastAsia="Calibri" w:hAnsi="Times New Roman" w:cs="Times New Roman"/>
          <w:sz w:val="20"/>
          <w:szCs w:val="20"/>
          <w:lang w:val="fr-FR"/>
        </w:rPr>
      </w:pPr>
      <w:r w:rsidRPr="00D410DA">
        <w:rPr>
          <w:rFonts w:ascii="Times New Roman" w:eastAsia="Calibri" w:hAnsi="Times New Roman" w:cs="Times New Roman"/>
          <w:sz w:val="20"/>
          <w:szCs w:val="20"/>
          <w:lang w:val="fr-FR"/>
        </w:rPr>
        <w:t xml:space="preserve">13. </w:t>
      </w:r>
      <w:r w:rsidRPr="00D410DA">
        <w:rPr>
          <w:rFonts w:ascii="Times New Roman" w:eastAsia="Calibri" w:hAnsi="Times New Roman" w:cs="Times New Roman"/>
          <w:sz w:val="20"/>
          <w:szCs w:val="20"/>
          <w:lang w:val="fr-FR"/>
        </w:rPr>
        <w:tab/>
      </w:r>
      <w:proofErr w:type="spellStart"/>
      <w:r w:rsidRPr="00D410DA">
        <w:rPr>
          <w:rFonts w:ascii="Times New Roman" w:eastAsia="Calibri" w:hAnsi="Times New Roman" w:cs="Times New Roman"/>
          <w:sz w:val="20"/>
          <w:szCs w:val="20"/>
          <w:lang w:val="fr-FR"/>
        </w:rPr>
        <w:t>Bouldjadj</w:t>
      </w:r>
      <w:proofErr w:type="spellEnd"/>
      <w:r w:rsidRPr="00D410DA">
        <w:rPr>
          <w:rFonts w:ascii="Times New Roman" w:eastAsia="Calibri" w:hAnsi="Times New Roman" w:cs="Times New Roman"/>
          <w:sz w:val="20"/>
          <w:szCs w:val="20"/>
          <w:lang w:val="fr-FR"/>
        </w:rPr>
        <w:t xml:space="preserve"> R, </w:t>
      </w:r>
      <w:proofErr w:type="spellStart"/>
      <w:r w:rsidRPr="00D410DA">
        <w:rPr>
          <w:rFonts w:ascii="Times New Roman" w:eastAsia="Calibri" w:hAnsi="Times New Roman" w:cs="Times New Roman"/>
          <w:sz w:val="20"/>
          <w:szCs w:val="20"/>
          <w:lang w:val="fr-FR"/>
        </w:rPr>
        <w:t>Chouguiat</w:t>
      </w:r>
      <w:proofErr w:type="spellEnd"/>
      <w:r w:rsidRPr="00D410DA">
        <w:rPr>
          <w:rFonts w:ascii="Times New Roman" w:eastAsia="Calibri" w:hAnsi="Times New Roman" w:cs="Times New Roman"/>
          <w:sz w:val="20"/>
          <w:szCs w:val="20"/>
          <w:lang w:val="fr-FR"/>
        </w:rPr>
        <w:t xml:space="preserve"> R. Contrôle qualité physico-chimique et microbiologique de l’atorvastatine 10mg [Internet] [Mémoire de DEA]. Université Frères </w:t>
      </w:r>
      <w:proofErr w:type="spellStart"/>
      <w:r w:rsidRPr="00D410DA">
        <w:rPr>
          <w:rFonts w:ascii="Times New Roman" w:eastAsia="Calibri" w:hAnsi="Times New Roman" w:cs="Times New Roman"/>
          <w:sz w:val="20"/>
          <w:szCs w:val="20"/>
          <w:lang w:val="fr-FR"/>
        </w:rPr>
        <w:t>Mentouri</w:t>
      </w:r>
      <w:proofErr w:type="spellEnd"/>
      <w:r w:rsidRPr="00D410DA">
        <w:rPr>
          <w:rFonts w:ascii="Times New Roman" w:eastAsia="Calibri" w:hAnsi="Times New Roman" w:cs="Times New Roman"/>
          <w:sz w:val="20"/>
          <w:szCs w:val="20"/>
          <w:lang w:val="fr-FR"/>
        </w:rPr>
        <w:t xml:space="preserve"> Constantine 1 ; 2018. </w:t>
      </w:r>
    </w:p>
    <w:p w:rsidR="005F79EE" w:rsidRDefault="002C1C73" w:rsidP="002C1C73">
      <w:r w:rsidRPr="00D410DA">
        <w:rPr>
          <w:rFonts w:ascii="Times New Roman" w:eastAsia="Times New Roman" w:hAnsi="Times New Roman" w:cs="Times New Roman"/>
          <w:b/>
          <w:bCs/>
          <w:sz w:val="20"/>
          <w:szCs w:val="20"/>
          <w:lang w:val="fr-FR"/>
        </w:rPr>
        <w:fldChar w:fldCharType="end"/>
      </w:r>
    </w:p>
    <w:sectPr w:rsidR="005F79EE">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72B" w:rsidRDefault="006A172B" w:rsidP="002C1C73">
      <w:pPr>
        <w:spacing w:after="0" w:line="240" w:lineRule="auto"/>
      </w:pPr>
      <w:r>
        <w:separator/>
      </w:r>
    </w:p>
  </w:endnote>
  <w:endnote w:type="continuationSeparator" w:id="0">
    <w:p w:rsidR="006A172B" w:rsidRDefault="006A172B" w:rsidP="002C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700984"/>
      <w:docPartObj>
        <w:docPartGallery w:val="Page Numbers (Bottom of Page)"/>
        <w:docPartUnique/>
      </w:docPartObj>
    </w:sdtPr>
    <w:sdtContent>
      <w:p w:rsidR="002C1C73" w:rsidRDefault="002C1C73">
        <w:pPr>
          <w:pStyle w:val="Pieddepage"/>
          <w:jc w:val="right"/>
        </w:pPr>
        <w:r>
          <w:fldChar w:fldCharType="begin"/>
        </w:r>
        <w:r>
          <w:instrText>PAGE   \* MERGEFORMAT</w:instrText>
        </w:r>
        <w:r>
          <w:fldChar w:fldCharType="separate"/>
        </w:r>
        <w:r w:rsidR="00D410DA" w:rsidRPr="00D410DA">
          <w:rPr>
            <w:noProof/>
            <w:lang w:val="fr-FR"/>
          </w:rPr>
          <w:t>8</w:t>
        </w:r>
        <w:r>
          <w:fldChar w:fldCharType="end"/>
        </w:r>
      </w:p>
    </w:sdtContent>
  </w:sdt>
  <w:p w:rsidR="002C1C73" w:rsidRDefault="002C1C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72B" w:rsidRDefault="006A172B" w:rsidP="002C1C73">
      <w:pPr>
        <w:spacing w:after="0" w:line="240" w:lineRule="auto"/>
      </w:pPr>
      <w:r>
        <w:separator/>
      </w:r>
    </w:p>
  </w:footnote>
  <w:footnote w:type="continuationSeparator" w:id="0">
    <w:p w:rsidR="006A172B" w:rsidRDefault="006A172B" w:rsidP="002C1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356CF"/>
    <w:multiLevelType w:val="hybridMultilevel"/>
    <w:tmpl w:val="D370F858"/>
    <w:lvl w:ilvl="0" w:tplc="040C0009">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7B6B76"/>
    <w:multiLevelType w:val="hybridMultilevel"/>
    <w:tmpl w:val="4EF2FEB2"/>
    <w:lvl w:ilvl="0" w:tplc="BC302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4561AF"/>
    <w:multiLevelType w:val="hybridMultilevel"/>
    <w:tmpl w:val="EF3A1430"/>
    <w:lvl w:ilvl="0" w:tplc="5566B8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73"/>
    <w:rsid w:val="002C1C73"/>
    <w:rsid w:val="004E7CC3"/>
    <w:rsid w:val="00511019"/>
    <w:rsid w:val="005F79EE"/>
    <w:rsid w:val="006A172B"/>
    <w:rsid w:val="0087132F"/>
    <w:rsid w:val="008C0735"/>
    <w:rsid w:val="00991EE4"/>
    <w:rsid w:val="00CD7B6A"/>
    <w:rsid w:val="00D410DA"/>
    <w:rsid w:val="00E804F1"/>
    <w:rsid w:val="00F1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1FB5"/>
  <w15:chartTrackingRefBased/>
  <w15:docId w15:val="{077A4993-4283-4D83-956A-779869A3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C1C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C1C73"/>
    <w:rPr>
      <w:color w:val="0563C1" w:themeColor="hyperlink"/>
      <w:u w:val="single"/>
    </w:rPr>
  </w:style>
  <w:style w:type="paragraph" w:styleId="En-tte">
    <w:name w:val="header"/>
    <w:basedOn w:val="Normal"/>
    <w:link w:val="En-tteCar"/>
    <w:uiPriority w:val="99"/>
    <w:unhideWhenUsed/>
    <w:rsid w:val="002C1C73"/>
    <w:pPr>
      <w:tabs>
        <w:tab w:val="center" w:pos="4703"/>
        <w:tab w:val="right" w:pos="9406"/>
      </w:tabs>
      <w:spacing w:after="0" w:line="240" w:lineRule="auto"/>
    </w:pPr>
  </w:style>
  <w:style w:type="character" w:customStyle="1" w:styleId="En-tteCar">
    <w:name w:val="En-tête Car"/>
    <w:basedOn w:val="Policepardfaut"/>
    <w:link w:val="En-tte"/>
    <w:uiPriority w:val="99"/>
    <w:rsid w:val="002C1C73"/>
  </w:style>
  <w:style w:type="paragraph" w:styleId="Pieddepage">
    <w:name w:val="footer"/>
    <w:basedOn w:val="Normal"/>
    <w:link w:val="PieddepageCar"/>
    <w:uiPriority w:val="99"/>
    <w:unhideWhenUsed/>
    <w:rsid w:val="002C1C7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C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joko16@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Feuille_de_calcul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81029107070942"/>
          <c:y val="5.03959683225342E-2"/>
          <c:w val="0.84747552239839496"/>
          <c:h val="0.8080933997721127"/>
        </c:manualLayout>
      </c:layout>
      <c:scatterChart>
        <c:scatterStyle val="lineMarker"/>
        <c:varyColors val="0"/>
        <c:ser>
          <c:idx val="0"/>
          <c:order val="0"/>
          <c:tx>
            <c:strRef>
              <c:f>Polyphénols!$A$9</c:f>
              <c:strCache>
                <c:ptCount val="1"/>
                <c:pt idx="0">
                  <c:v>DO R</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Polyphénols!$B$8:$H$8</c:f>
              <c:numCache>
                <c:formatCode>General</c:formatCode>
                <c:ptCount val="7"/>
                <c:pt idx="0">
                  <c:v>0</c:v>
                </c:pt>
                <c:pt idx="1">
                  <c:v>100</c:v>
                </c:pt>
                <c:pt idx="2">
                  <c:v>200</c:v>
                </c:pt>
                <c:pt idx="3">
                  <c:v>400</c:v>
                </c:pt>
                <c:pt idx="4">
                  <c:v>600</c:v>
                </c:pt>
                <c:pt idx="5">
                  <c:v>800</c:v>
                </c:pt>
                <c:pt idx="6">
                  <c:v>1000</c:v>
                </c:pt>
              </c:numCache>
            </c:numRef>
          </c:xVal>
          <c:yVal>
            <c:numRef>
              <c:f>Polyphénols!$B$9:$H$9</c:f>
              <c:numCache>
                <c:formatCode>General</c:formatCode>
                <c:ptCount val="7"/>
                <c:pt idx="0">
                  <c:v>0</c:v>
                </c:pt>
                <c:pt idx="1">
                  <c:v>0.26400000000000001</c:v>
                </c:pt>
                <c:pt idx="2">
                  <c:v>0.53600000000000003</c:v>
                </c:pt>
                <c:pt idx="3">
                  <c:v>1.0409999999999999</c:v>
                </c:pt>
                <c:pt idx="4">
                  <c:v>1.5029999999999999</c:v>
                </c:pt>
                <c:pt idx="5">
                  <c:v>1.921</c:v>
                </c:pt>
                <c:pt idx="6">
                  <c:v>2.347</c:v>
                </c:pt>
              </c:numCache>
            </c:numRef>
          </c:yVal>
          <c:smooth val="0"/>
          <c:extLst>
            <c:ext xmlns:c16="http://schemas.microsoft.com/office/drawing/2014/chart" uri="{C3380CC4-5D6E-409C-BE32-E72D297353CC}">
              <c16:uniqueId val="{00000000-B305-4A67-9B9F-ED0203583352}"/>
            </c:ext>
          </c:extLst>
        </c:ser>
        <c:dLbls>
          <c:showLegendKey val="0"/>
          <c:showVal val="0"/>
          <c:showCatName val="0"/>
          <c:showSerName val="0"/>
          <c:showPercent val="0"/>
          <c:showBubbleSize val="0"/>
        </c:dLbls>
        <c:axId val="649347423"/>
        <c:axId val="649358239"/>
      </c:scatterChart>
      <c:valAx>
        <c:axId val="6493474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Concentration acide gallique (µg/ml)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9358239"/>
        <c:crosses val="autoZero"/>
        <c:crossBetween val="midCat"/>
      </c:valAx>
      <c:valAx>
        <c:axId val="6493582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Densité optique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934742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Taille des mailles des tamis</c:v>
                </c:pt>
              </c:strCache>
            </c:strRef>
          </c:tx>
          <c:spPr>
            <a:solidFill>
              <a:schemeClr val="accent1"/>
            </a:solidFill>
            <a:ln>
              <a:noFill/>
            </a:ln>
            <a:effectLst/>
          </c:spPr>
          <c:invertIfNegative val="0"/>
          <c:cat>
            <c:strRef>
              <c:f>Feuil1!$A$2:$A$10</c:f>
              <c:strCache>
                <c:ptCount val="9"/>
                <c:pt idx="0">
                  <c:v>T1 (1400 µm)</c:v>
                </c:pt>
                <c:pt idx="1">
                  <c:v>T2 (710 µm)</c:v>
                </c:pt>
                <c:pt idx="2">
                  <c:v>T3 (500 µm)</c:v>
                </c:pt>
                <c:pt idx="3">
                  <c:v>T4 (355 µm)</c:v>
                </c:pt>
                <c:pt idx="4">
                  <c:v>T5 (250 µm)</c:v>
                </c:pt>
                <c:pt idx="5">
                  <c:v>T6 (180 µm)</c:v>
                </c:pt>
                <c:pt idx="6">
                  <c:v>T7 (125 µm)</c:v>
                </c:pt>
                <c:pt idx="7">
                  <c:v>T8 (63 µm)</c:v>
                </c:pt>
                <c:pt idx="8">
                  <c:v>Fond du tamis</c:v>
                </c:pt>
              </c:strCache>
            </c:strRef>
          </c:cat>
          <c:val>
            <c:numRef>
              <c:f>Feuil1!$B$2:$B$10</c:f>
              <c:numCache>
                <c:formatCode>General</c:formatCode>
                <c:ptCount val="9"/>
                <c:pt idx="0">
                  <c:v>2.8</c:v>
                </c:pt>
                <c:pt idx="1">
                  <c:v>64</c:v>
                </c:pt>
                <c:pt idx="2">
                  <c:v>3.8</c:v>
                </c:pt>
                <c:pt idx="3">
                  <c:v>18</c:v>
                </c:pt>
                <c:pt idx="4">
                  <c:v>1.2</c:v>
                </c:pt>
                <c:pt idx="5">
                  <c:v>0.9</c:v>
                </c:pt>
                <c:pt idx="6">
                  <c:v>2.8</c:v>
                </c:pt>
                <c:pt idx="7">
                  <c:v>0.5</c:v>
                </c:pt>
                <c:pt idx="8">
                  <c:v>0</c:v>
                </c:pt>
              </c:numCache>
            </c:numRef>
          </c:val>
          <c:extLst>
            <c:ext xmlns:c16="http://schemas.microsoft.com/office/drawing/2014/chart" uri="{C3380CC4-5D6E-409C-BE32-E72D297353CC}">
              <c16:uniqueId val="{00000000-0550-4AB3-8450-DE0814D4783E}"/>
            </c:ext>
          </c:extLst>
        </c:ser>
        <c:dLbls>
          <c:showLegendKey val="0"/>
          <c:showVal val="0"/>
          <c:showCatName val="0"/>
          <c:showSerName val="0"/>
          <c:showPercent val="0"/>
          <c:showBubbleSize val="0"/>
        </c:dLbls>
        <c:gapWidth val="219"/>
        <c:overlap val="-27"/>
        <c:axId val="179758592"/>
        <c:axId val="179765792"/>
      </c:barChart>
      <c:catAx>
        <c:axId val="179758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300" b="0">
                    <a:latin typeface="Times New Roman" panose="02020603050405020304" pitchFamily="18" charset="0"/>
                    <a:cs typeface="Times New Roman" panose="02020603050405020304" pitchFamily="18" charset="0"/>
                  </a:rPr>
                  <a:t>Taille des mailles des tamis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65792"/>
        <c:crosses val="autoZero"/>
        <c:auto val="1"/>
        <c:lblAlgn val="ctr"/>
        <c:lblOffset val="100"/>
        <c:noMultiLvlLbl val="0"/>
      </c:catAx>
      <c:valAx>
        <c:axId val="17976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3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Quantité de poudre retenue en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585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111</TotalTime>
  <Pages>14</Pages>
  <Words>10795</Words>
  <Characters>61535</Characters>
  <Application>Microsoft Office Word</Application>
  <DocSecurity>0</DocSecurity>
  <Lines>512</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DJOKO</dc:creator>
  <cp:keywords/>
  <dc:description/>
  <cp:lastModifiedBy>Dr. DJOKO</cp:lastModifiedBy>
  <cp:revision>1</cp:revision>
  <dcterms:created xsi:type="dcterms:W3CDTF">2024-10-29T22:04:00Z</dcterms:created>
  <dcterms:modified xsi:type="dcterms:W3CDTF">2024-10-29T23:55:00Z</dcterms:modified>
</cp:coreProperties>
</file>